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B1C30" w14:textId="77777777" w:rsidR="004945CE" w:rsidRPr="007601D4" w:rsidRDefault="004945CE" w:rsidP="0004382C">
      <w:pPr>
        <w:spacing w:line="360" w:lineRule="auto"/>
        <w:jc w:val="left"/>
      </w:pPr>
    </w:p>
    <w:p w14:paraId="7D70D885" w14:textId="3617ACC0" w:rsidR="00B2323E" w:rsidRPr="007601D4" w:rsidRDefault="0041585F" w:rsidP="0004382C">
      <w:pPr>
        <w:spacing w:line="360" w:lineRule="auto"/>
        <w:jc w:val="left"/>
      </w:pPr>
      <w:r w:rsidRPr="007601D4">
        <w:rPr>
          <w:noProof/>
        </w:rPr>
        <w:drawing>
          <wp:anchor distT="0" distB="0" distL="114300" distR="114300" simplePos="0" relativeHeight="251658240" behindDoc="1" locked="0" layoutInCell="1" allowOverlap="1" wp14:anchorId="483F91D0" wp14:editId="49C9A451">
            <wp:simplePos x="0" y="0"/>
            <wp:positionH relativeFrom="margin">
              <wp:align>center</wp:align>
            </wp:positionH>
            <wp:positionV relativeFrom="paragraph">
              <wp:posOffset>414</wp:posOffset>
            </wp:positionV>
            <wp:extent cx="4095750" cy="70993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5750"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F6159" w14:textId="77777777" w:rsidR="00AE10CA" w:rsidRPr="007601D4" w:rsidRDefault="00AE10CA" w:rsidP="0004382C">
      <w:pPr>
        <w:spacing w:line="360" w:lineRule="auto"/>
        <w:jc w:val="center"/>
        <w:rPr>
          <w:sz w:val="32"/>
          <w:szCs w:val="32"/>
        </w:rPr>
      </w:pPr>
    </w:p>
    <w:p w14:paraId="4DB67710" w14:textId="77777777" w:rsidR="0041585F" w:rsidRPr="007601D4" w:rsidRDefault="0041585F" w:rsidP="0004382C">
      <w:pPr>
        <w:pStyle w:val="Default"/>
        <w:spacing w:before="120" w:after="240" w:line="360" w:lineRule="auto"/>
        <w:jc w:val="center"/>
        <w:rPr>
          <w:rFonts w:ascii="Times New Roman" w:hAnsi="Times New Roman" w:cs="Times New Roman"/>
          <w:b/>
          <w:bCs/>
          <w:color w:val="auto"/>
          <w:sz w:val="32"/>
          <w:szCs w:val="32"/>
          <w:lang w:val="en-GB"/>
        </w:rPr>
      </w:pPr>
    </w:p>
    <w:p w14:paraId="6C0271A8" w14:textId="77777777" w:rsidR="00F37892" w:rsidRPr="007601D4" w:rsidRDefault="00F37892" w:rsidP="0004382C">
      <w:pPr>
        <w:pStyle w:val="Default"/>
        <w:spacing w:before="120" w:after="240" w:line="360" w:lineRule="auto"/>
        <w:jc w:val="center"/>
        <w:rPr>
          <w:rFonts w:ascii="Times New Roman" w:hAnsi="Times New Roman" w:cs="Times New Roman"/>
          <w:b/>
          <w:bCs/>
          <w:color w:val="auto"/>
          <w:sz w:val="32"/>
          <w:szCs w:val="32"/>
          <w:lang w:val="en-GB"/>
        </w:rPr>
      </w:pPr>
    </w:p>
    <w:p w14:paraId="34CF39DC" w14:textId="77777777" w:rsidR="00F37892" w:rsidRPr="007601D4" w:rsidRDefault="00F37892" w:rsidP="0004382C">
      <w:pPr>
        <w:pStyle w:val="Default"/>
        <w:spacing w:before="120" w:after="240" w:line="360" w:lineRule="auto"/>
        <w:jc w:val="center"/>
        <w:rPr>
          <w:rFonts w:ascii="Times New Roman" w:hAnsi="Times New Roman" w:cs="Times New Roman"/>
          <w:b/>
          <w:bCs/>
          <w:color w:val="auto"/>
          <w:sz w:val="32"/>
          <w:szCs w:val="32"/>
          <w:lang w:val="en-GB"/>
        </w:rPr>
      </w:pPr>
    </w:p>
    <w:p w14:paraId="0CEB8245" w14:textId="77777777" w:rsidR="00F37892" w:rsidRPr="007601D4" w:rsidRDefault="00F37892" w:rsidP="0004382C">
      <w:pPr>
        <w:pStyle w:val="Default"/>
        <w:spacing w:before="120" w:after="240" w:line="360" w:lineRule="auto"/>
        <w:jc w:val="center"/>
        <w:rPr>
          <w:rFonts w:ascii="Times New Roman" w:hAnsi="Times New Roman" w:cs="Times New Roman"/>
          <w:b/>
          <w:bCs/>
          <w:color w:val="auto"/>
          <w:sz w:val="32"/>
          <w:szCs w:val="32"/>
          <w:lang w:val="en-GB"/>
        </w:rPr>
      </w:pPr>
    </w:p>
    <w:p w14:paraId="41F14045" w14:textId="77777777" w:rsidR="00F37892" w:rsidRPr="007601D4" w:rsidRDefault="00F37892" w:rsidP="0004382C">
      <w:pPr>
        <w:pStyle w:val="Default"/>
        <w:spacing w:before="120" w:after="240" w:line="360" w:lineRule="auto"/>
        <w:jc w:val="center"/>
        <w:rPr>
          <w:rFonts w:ascii="Times New Roman" w:hAnsi="Times New Roman" w:cs="Times New Roman"/>
          <w:b/>
          <w:bCs/>
          <w:color w:val="auto"/>
          <w:sz w:val="32"/>
          <w:szCs w:val="32"/>
          <w:lang w:val="en-GB"/>
        </w:rPr>
      </w:pPr>
    </w:p>
    <w:p w14:paraId="5F3B818A" w14:textId="77777777" w:rsidR="00F37892" w:rsidRPr="007601D4" w:rsidRDefault="0041585F" w:rsidP="0004382C">
      <w:pPr>
        <w:pStyle w:val="NoSpacing"/>
        <w:spacing w:before="120" w:after="240" w:line="360" w:lineRule="auto"/>
        <w:jc w:val="center"/>
        <w:rPr>
          <w:rFonts w:ascii="Times New Roman" w:hAnsi="Times New Roman"/>
          <w:b/>
          <w:bCs/>
          <w:sz w:val="32"/>
          <w:szCs w:val="32"/>
        </w:rPr>
      </w:pPr>
      <w:r w:rsidRPr="007601D4">
        <w:rPr>
          <w:rFonts w:ascii="Times New Roman" w:hAnsi="Times New Roman"/>
          <w:b/>
          <w:bCs/>
          <w:sz w:val="32"/>
          <w:szCs w:val="32"/>
        </w:rPr>
        <w:t xml:space="preserve">DRAFT </w:t>
      </w:r>
      <w:r w:rsidR="00EF1561" w:rsidRPr="007601D4">
        <w:rPr>
          <w:rFonts w:ascii="Times New Roman" w:hAnsi="Times New Roman"/>
          <w:b/>
          <w:bCs/>
          <w:sz w:val="32"/>
          <w:szCs w:val="32"/>
        </w:rPr>
        <w:t xml:space="preserve">ANNUAL </w:t>
      </w:r>
      <w:r w:rsidRPr="007601D4">
        <w:rPr>
          <w:rFonts w:ascii="Times New Roman" w:hAnsi="Times New Roman"/>
          <w:b/>
          <w:bCs/>
          <w:sz w:val="32"/>
          <w:szCs w:val="32"/>
        </w:rPr>
        <w:t>REPORT</w:t>
      </w:r>
    </w:p>
    <w:p w14:paraId="08E5693F" w14:textId="77777777" w:rsidR="00F37892" w:rsidRPr="007601D4" w:rsidRDefault="00F37892" w:rsidP="0004382C">
      <w:pPr>
        <w:pStyle w:val="NoSpacing"/>
        <w:spacing w:before="120" w:after="240" w:line="360" w:lineRule="auto"/>
        <w:jc w:val="center"/>
        <w:rPr>
          <w:rFonts w:ascii="Times New Roman" w:hAnsi="Times New Roman"/>
          <w:b/>
          <w:bCs/>
          <w:sz w:val="32"/>
          <w:szCs w:val="32"/>
        </w:rPr>
      </w:pPr>
      <w:r w:rsidRPr="007601D4">
        <w:rPr>
          <w:rFonts w:ascii="Times New Roman" w:hAnsi="Times New Roman"/>
          <w:b/>
          <w:bCs/>
          <w:sz w:val="32"/>
          <w:szCs w:val="32"/>
        </w:rPr>
        <w:t>OF THE RCC SECRETARY GENERAL</w:t>
      </w:r>
    </w:p>
    <w:p w14:paraId="6DF13D25" w14:textId="35661462" w:rsidR="0041585F" w:rsidRPr="007601D4" w:rsidRDefault="00822C08" w:rsidP="0004382C">
      <w:pPr>
        <w:pStyle w:val="Default"/>
        <w:spacing w:before="120" w:after="240" w:line="360" w:lineRule="auto"/>
        <w:jc w:val="center"/>
        <w:rPr>
          <w:rFonts w:ascii="Times New Roman" w:hAnsi="Times New Roman" w:cs="Times New Roman"/>
          <w:b/>
          <w:bCs/>
          <w:color w:val="auto"/>
          <w:lang w:val="en-GB"/>
        </w:rPr>
      </w:pPr>
      <w:r w:rsidRPr="007601D4">
        <w:rPr>
          <w:rFonts w:ascii="Times New Roman" w:hAnsi="Times New Roman" w:cs="Times New Roman"/>
          <w:b/>
          <w:bCs/>
          <w:color w:val="auto"/>
          <w:sz w:val="32"/>
          <w:szCs w:val="32"/>
          <w:lang w:val="en-GB"/>
        </w:rPr>
        <w:t>1 June 20</w:t>
      </w:r>
      <w:r w:rsidR="00D0350B" w:rsidRPr="007601D4">
        <w:rPr>
          <w:rFonts w:ascii="Times New Roman" w:hAnsi="Times New Roman" w:cs="Times New Roman"/>
          <w:b/>
          <w:bCs/>
          <w:color w:val="auto"/>
          <w:sz w:val="32"/>
          <w:szCs w:val="32"/>
          <w:lang w:val="en-GB"/>
        </w:rPr>
        <w:t>25</w:t>
      </w:r>
      <w:r w:rsidRPr="007601D4">
        <w:rPr>
          <w:rFonts w:ascii="Times New Roman" w:hAnsi="Times New Roman" w:cs="Times New Roman"/>
          <w:b/>
          <w:bCs/>
          <w:color w:val="auto"/>
          <w:sz w:val="32"/>
          <w:szCs w:val="32"/>
          <w:lang w:val="en-GB"/>
        </w:rPr>
        <w:t xml:space="preserve"> – </w:t>
      </w:r>
      <w:r w:rsidR="00FC3661" w:rsidRPr="007601D4">
        <w:rPr>
          <w:rFonts w:ascii="Times New Roman" w:hAnsi="Times New Roman" w:cs="Times New Roman"/>
          <w:b/>
          <w:bCs/>
          <w:color w:val="auto"/>
          <w:sz w:val="32"/>
          <w:szCs w:val="32"/>
          <w:lang w:val="en-GB"/>
        </w:rPr>
        <w:t xml:space="preserve">1 </w:t>
      </w:r>
      <w:r w:rsidRPr="007601D4">
        <w:rPr>
          <w:rFonts w:ascii="Times New Roman" w:hAnsi="Times New Roman" w:cs="Times New Roman"/>
          <w:b/>
          <w:bCs/>
          <w:color w:val="auto"/>
          <w:sz w:val="32"/>
          <w:szCs w:val="32"/>
          <w:lang w:val="en-GB"/>
        </w:rPr>
        <w:t>June</w:t>
      </w:r>
      <w:r w:rsidR="00FC3661" w:rsidRPr="007601D4">
        <w:rPr>
          <w:rFonts w:ascii="Times New Roman" w:hAnsi="Times New Roman" w:cs="Times New Roman"/>
          <w:b/>
          <w:bCs/>
          <w:color w:val="auto"/>
          <w:sz w:val="32"/>
          <w:szCs w:val="32"/>
          <w:lang w:val="en-GB"/>
        </w:rPr>
        <w:t xml:space="preserve"> 202</w:t>
      </w:r>
      <w:r w:rsidR="00D0350B" w:rsidRPr="007601D4">
        <w:rPr>
          <w:rFonts w:ascii="Times New Roman" w:hAnsi="Times New Roman" w:cs="Times New Roman"/>
          <w:b/>
          <w:bCs/>
          <w:color w:val="auto"/>
          <w:sz w:val="32"/>
          <w:szCs w:val="32"/>
          <w:lang w:val="en-GB"/>
        </w:rPr>
        <w:t>6</w:t>
      </w:r>
    </w:p>
    <w:p w14:paraId="4874A51A" w14:textId="77777777" w:rsidR="0041585F" w:rsidRPr="007601D4" w:rsidRDefault="0041585F" w:rsidP="0004382C">
      <w:pPr>
        <w:pStyle w:val="NoSpacing"/>
        <w:spacing w:before="120" w:after="240" w:line="360" w:lineRule="auto"/>
        <w:jc w:val="both"/>
        <w:rPr>
          <w:rFonts w:ascii="Times New Roman" w:hAnsi="Times New Roman"/>
          <w:sz w:val="24"/>
          <w:szCs w:val="24"/>
        </w:rPr>
      </w:pPr>
    </w:p>
    <w:p w14:paraId="7F1E3C63" w14:textId="77777777" w:rsidR="00C33025" w:rsidRPr="007601D4" w:rsidRDefault="00C33025" w:rsidP="0004382C">
      <w:pPr>
        <w:pStyle w:val="NoSpacing"/>
        <w:spacing w:before="120" w:after="240" w:line="360" w:lineRule="auto"/>
        <w:jc w:val="both"/>
        <w:rPr>
          <w:rFonts w:ascii="Times New Roman" w:hAnsi="Times New Roman"/>
          <w:sz w:val="24"/>
          <w:szCs w:val="24"/>
        </w:rPr>
      </w:pPr>
    </w:p>
    <w:p w14:paraId="45FFB054" w14:textId="77777777" w:rsidR="0041585F" w:rsidRPr="007601D4" w:rsidRDefault="0041585F" w:rsidP="0004382C">
      <w:pPr>
        <w:pStyle w:val="NoSpacing"/>
        <w:spacing w:before="120" w:after="240" w:line="360" w:lineRule="auto"/>
        <w:jc w:val="both"/>
        <w:rPr>
          <w:rFonts w:ascii="Times New Roman" w:hAnsi="Times New Roman"/>
          <w:sz w:val="24"/>
          <w:szCs w:val="24"/>
        </w:rPr>
      </w:pPr>
    </w:p>
    <w:p w14:paraId="7D1C64D9" w14:textId="77777777" w:rsidR="002D3AB9" w:rsidRPr="007601D4" w:rsidRDefault="002D3AB9" w:rsidP="0004382C">
      <w:pPr>
        <w:pStyle w:val="NoSpacing"/>
        <w:spacing w:before="120" w:after="240" w:line="360" w:lineRule="auto"/>
        <w:jc w:val="both"/>
        <w:rPr>
          <w:rFonts w:ascii="Times New Roman" w:hAnsi="Times New Roman"/>
          <w:sz w:val="24"/>
          <w:szCs w:val="24"/>
        </w:rPr>
      </w:pPr>
    </w:p>
    <w:p w14:paraId="07A534EB" w14:textId="419A6B7F" w:rsidR="00CD0284" w:rsidRPr="007601D4" w:rsidRDefault="0041585F" w:rsidP="0004382C">
      <w:pPr>
        <w:pStyle w:val="NoSpacing"/>
        <w:spacing w:before="120" w:after="240" w:line="360" w:lineRule="auto"/>
        <w:jc w:val="center"/>
        <w:rPr>
          <w:rFonts w:ascii="Times New Roman" w:hAnsi="Times New Roman"/>
          <w:sz w:val="24"/>
          <w:szCs w:val="24"/>
        </w:rPr>
        <w:sectPr w:rsidR="00CD0284" w:rsidRPr="007601D4" w:rsidSect="008E16BF">
          <w:headerReference w:type="default" r:id="rId9"/>
          <w:footerReference w:type="default" r:id="rId10"/>
          <w:pgSz w:w="11906" w:h="16838"/>
          <w:pgMar w:top="1440" w:right="1440" w:bottom="1560" w:left="1440" w:header="708" w:footer="401" w:gutter="0"/>
          <w:cols w:space="708"/>
          <w:docGrid w:linePitch="360"/>
        </w:sectPr>
      </w:pPr>
      <w:r w:rsidRPr="007601D4">
        <w:rPr>
          <w:rFonts w:ascii="Times New Roman" w:hAnsi="Times New Roman"/>
          <w:sz w:val="24"/>
          <w:szCs w:val="24"/>
        </w:rPr>
        <w:t xml:space="preserve">Sarajevo, </w:t>
      </w:r>
      <w:r w:rsidR="00EF1561" w:rsidRPr="007601D4">
        <w:rPr>
          <w:rFonts w:ascii="Times New Roman" w:hAnsi="Times New Roman"/>
          <w:sz w:val="24"/>
          <w:szCs w:val="24"/>
        </w:rPr>
        <w:t>May</w:t>
      </w:r>
      <w:r w:rsidRPr="007601D4">
        <w:rPr>
          <w:rFonts w:ascii="Times New Roman" w:hAnsi="Times New Roman"/>
          <w:sz w:val="24"/>
          <w:szCs w:val="24"/>
        </w:rPr>
        <w:t xml:space="preserve"> 202</w:t>
      </w:r>
      <w:r w:rsidR="00D0350B" w:rsidRPr="007601D4">
        <w:rPr>
          <w:rFonts w:ascii="Times New Roman" w:hAnsi="Times New Roman"/>
          <w:sz w:val="24"/>
          <w:szCs w:val="24"/>
        </w:rPr>
        <w:t>6</w:t>
      </w:r>
    </w:p>
    <w:p w14:paraId="67EBC148" w14:textId="77777777" w:rsidR="008175A0" w:rsidRPr="007601D4" w:rsidRDefault="00B2323E" w:rsidP="0004382C">
      <w:pPr>
        <w:pStyle w:val="Heading1"/>
        <w:numPr>
          <w:ilvl w:val="0"/>
          <w:numId w:val="0"/>
        </w:numPr>
        <w:spacing w:line="360" w:lineRule="auto"/>
        <w:ind w:left="360" w:hanging="360"/>
      </w:pPr>
      <w:bookmarkStart w:id="0" w:name="_Toc133782391"/>
      <w:bookmarkStart w:id="1" w:name="_Toc133825126"/>
      <w:bookmarkStart w:id="2" w:name="_Toc134603913"/>
      <w:bookmarkStart w:id="3" w:name="_Toc134626066"/>
      <w:bookmarkStart w:id="4" w:name="_Toc228451771"/>
      <w:r w:rsidRPr="007601D4">
        <w:lastRenderedPageBreak/>
        <w:t>Table of Contents</w:t>
      </w:r>
      <w:bookmarkEnd w:id="0"/>
      <w:bookmarkEnd w:id="1"/>
      <w:bookmarkEnd w:id="2"/>
      <w:bookmarkEnd w:id="3"/>
      <w:bookmarkEnd w:id="4"/>
    </w:p>
    <w:p w14:paraId="1208274B" w14:textId="178B879F" w:rsidR="009F4DE7" w:rsidRPr="007601D4" w:rsidRDefault="00391D48">
      <w:pPr>
        <w:pStyle w:val="TOC1"/>
        <w:tabs>
          <w:tab w:val="right" w:leader="dot" w:pos="9016"/>
        </w:tabs>
        <w:rPr>
          <w:rFonts w:asciiTheme="minorHAnsi" w:eastAsiaTheme="minorEastAsia" w:hAnsiTheme="minorHAnsi"/>
          <w:kern w:val="2"/>
          <w:szCs w:val="24"/>
          <w:lang w:eastAsia="en-GB"/>
          <w14:ligatures w14:val="standardContextual"/>
        </w:rPr>
      </w:pPr>
      <w:r w:rsidRPr="007601D4">
        <w:rPr>
          <w:color w:val="2E74B5" w:themeColor="accent1" w:themeShade="BF"/>
        </w:rPr>
        <w:fldChar w:fldCharType="begin"/>
      </w:r>
      <w:r w:rsidRPr="007601D4">
        <w:rPr>
          <w:color w:val="2E74B5" w:themeColor="accent1" w:themeShade="BF"/>
        </w:rPr>
        <w:instrText xml:space="preserve"> TOC \o "1-4" \h \z \u </w:instrText>
      </w:r>
      <w:r w:rsidRPr="007601D4">
        <w:rPr>
          <w:color w:val="2E74B5" w:themeColor="accent1" w:themeShade="BF"/>
        </w:rPr>
        <w:fldChar w:fldCharType="separate"/>
      </w:r>
      <w:hyperlink w:anchor="_Toc228451771" w:history="1">
        <w:r w:rsidR="009F4DE7" w:rsidRPr="007601D4">
          <w:rPr>
            <w:rStyle w:val="Hyperlink"/>
          </w:rPr>
          <w:t>Table of Contents</w:t>
        </w:r>
        <w:r w:rsidR="009F4DE7" w:rsidRPr="007601D4">
          <w:rPr>
            <w:webHidden/>
          </w:rPr>
          <w:tab/>
        </w:r>
        <w:r w:rsidR="009F4DE7" w:rsidRPr="007601D4">
          <w:rPr>
            <w:webHidden/>
          </w:rPr>
          <w:fldChar w:fldCharType="begin"/>
        </w:r>
        <w:r w:rsidR="009F4DE7" w:rsidRPr="007601D4">
          <w:rPr>
            <w:webHidden/>
          </w:rPr>
          <w:instrText xml:space="preserve"> PAGEREF _Toc228451771 \h </w:instrText>
        </w:r>
        <w:r w:rsidR="009F4DE7" w:rsidRPr="007601D4">
          <w:rPr>
            <w:webHidden/>
          </w:rPr>
        </w:r>
        <w:r w:rsidR="009F4DE7" w:rsidRPr="007601D4">
          <w:rPr>
            <w:webHidden/>
          </w:rPr>
          <w:fldChar w:fldCharType="separate"/>
        </w:r>
        <w:r w:rsidR="009F4DE7" w:rsidRPr="007601D4">
          <w:rPr>
            <w:webHidden/>
          </w:rPr>
          <w:t>1</w:t>
        </w:r>
        <w:r w:rsidR="009F4DE7" w:rsidRPr="007601D4">
          <w:rPr>
            <w:webHidden/>
          </w:rPr>
          <w:fldChar w:fldCharType="end"/>
        </w:r>
      </w:hyperlink>
    </w:p>
    <w:p w14:paraId="5DD81B32" w14:textId="2017EC3C" w:rsidR="009F4DE7" w:rsidRPr="007601D4" w:rsidRDefault="009F4DE7">
      <w:pPr>
        <w:pStyle w:val="TOC1"/>
        <w:tabs>
          <w:tab w:val="right" w:leader="dot" w:pos="9016"/>
        </w:tabs>
        <w:rPr>
          <w:rFonts w:asciiTheme="minorHAnsi" w:eastAsiaTheme="minorEastAsia" w:hAnsiTheme="minorHAnsi"/>
          <w:kern w:val="2"/>
          <w:szCs w:val="24"/>
          <w:lang w:eastAsia="en-GB"/>
          <w14:ligatures w14:val="standardContextual"/>
        </w:rPr>
      </w:pPr>
      <w:hyperlink w:anchor="_Toc228451772" w:history="1">
        <w:r w:rsidRPr="007601D4">
          <w:rPr>
            <w:rStyle w:val="Hyperlink"/>
          </w:rPr>
          <w:t>Foreword</w:t>
        </w:r>
        <w:r w:rsidRPr="007601D4">
          <w:rPr>
            <w:webHidden/>
          </w:rPr>
          <w:tab/>
        </w:r>
        <w:r w:rsidRPr="007601D4">
          <w:rPr>
            <w:webHidden/>
          </w:rPr>
          <w:fldChar w:fldCharType="begin"/>
        </w:r>
        <w:r w:rsidRPr="007601D4">
          <w:rPr>
            <w:webHidden/>
          </w:rPr>
          <w:instrText xml:space="preserve"> PAGEREF _Toc228451772 \h </w:instrText>
        </w:r>
        <w:r w:rsidRPr="007601D4">
          <w:rPr>
            <w:webHidden/>
          </w:rPr>
        </w:r>
        <w:r w:rsidRPr="007601D4">
          <w:rPr>
            <w:webHidden/>
          </w:rPr>
          <w:fldChar w:fldCharType="separate"/>
        </w:r>
        <w:r w:rsidRPr="007601D4">
          <w:rPr>
            <w:webHidden/>
          </w:rPr>
          <w:t>3</w:t>
        </w:r>
        <w:r w:rsidRPr="007601D4">
          <w:rPr>
            <w:webHidden/>
          </w:rPr>
          <w:fldChar w:fldCharType="end"/>
        </w:r>
      </w:hyperlink>
    </w:p>
    <w:p w14:paraId="46983AC9" w14:textId="1AFDBFB3" w:rsidR="009F4DE7" w:rsidRPr="007601D4" w:rsidRDefault="009F4DE7">
      <w:pPr>
        <w:pStyle w:val="TOC1"/>
        <w:tabs>
          <w:tab w:val="right" w:leader="dot" w:pos="9016"/>
        </w:tabs>
        <w:rPr>
          <w:rFonts w:asciiTheme="minorHAnsi" w:eastAsiaTheme="minorEastAsia" w:hAnsiTheme="minorHAnsi"/>
          <w:kern w:val="2"/>
          <w:szCs w:val="24"/>
          <w:lang w:eastAsia="en-GB"/>
          <w14:ligatures w14:val="standardContextual"/>
        </w:rPr>
      </w:pPr>
      <w:hyperlink w:anchor="_Toc228451773" w:history="1">
        <w:r w:rsidRPr="007601D4">
          <w:rPr>
            <w:rStyle w:val="Hyperlink"/>
          </w:rPr>
          <w:t>Executive Summary</w:t>
        </w:r>
        <w:r w:rsidRPr="007601D4">
          <w:rPr>
            <w:webHidden/>
          </w:rPr>
          <w:tab/>
        </w:r>
        <w:r w:rsidRPr="007601D4">
          <w:rPr>
            <w:webHidden/>
          </w:rPr>
          <w:fldChar w:fldCharType="begin"/>
        </w:r>
        <w:r w:rsidRPr="007601D4">
          <w:rPr>
            <w:webHidden/>
          </w:rPr>
          <w:instrText xml:space="preserve"> PAGEREF _Toc228451773 \h </w:instrText>
        </w:r>
        <w:r w:rsidRPr="007601D4">
          <w:rPr>
            <w:webHidden/>
          </w:rPr>
        </w:r>
        <w:r w:rsidRPr="007601D4">
          <w:rPr>
            <w:webHidden/>
          </w:rPr>
          <w:fldChar w:fldCharType="separate"/>
        </w:r>
        <w:r w:rsidRPr="007601D4">
          <w:rPr>
            <w:webHidden/>
          </w:rPr>
          <w:t>6</w:t>
        </w:r>
        <w:r w:rsidRPr="007601D4">
          <w:rPr>
            <w:webHidden/>
          </w:rPr>
          <w:fldChar w:fldCharType="end"/>
        </w:r>
      </w:hyperlink>
    </w:p>
    <w:p w14:paraId="591400E4" w14:textId="5EA66B25" w:rsidR="009F4DE7" w:rsidRPr="007601D4" w:rsidRDefault="009F4DE7">
      <w:pPr>
        <w:pStyle w:val="TOC1"/>
        <w:tabs>
          <w:tab w:val="right" w:leader="dot" w:pos="9016"/>
        </w:tabs>
        <w:rPr>
          <w:rFonts w:asciiTheme="minorHAnsi" w:eastAsiaTheme="minorEastAsia" w:hAnsiTheme="minorHAnsi"/>
          <w:kern w:val="2"/>
          <w:szCs w:val="24"/>
          <w:lang w:eastAsia="en-GB"/>
          <w14:ligatures w14:val="standardContextual"/>
        </w:rPr>
      </w:pPr>
      <w:hyperlink w:anchor="_Toc228451774" w:history="1">
        <w:r w:rsidRPr="007601D4">
          <w:rPr>
            <w:rStyle w:val="Hyperlink"/>
          </w:rPr>
          <w:t>Support to the Implementation of Regional Programmes</w:t>
        </w:r>
        <w:r w:rsidRPr="007601D4">
          <w:rPr>
            <w:webHidden/>
          </w:rPr>
          <w:tab/>
        </w:r>
        <w:r w:rsidRPr="007601D4">
          <w:rPr>
            <w:webHidden/>
          </w:rPr>
          <w:fldChar w:fldCharType="begin"/>
        </w:r>
        <w:r w:rsidRPr="007601D4">
          <w:rPr>
            <w:webHidden/>
          </w:rPr>
          <w:instrText xml:space="preserve"> PAGEREF _Toc228451774 \h </w:instrText>
        </w:r>
        <w:r w:rsidRPr="007601D4">
          <w:rPr>
            <w:webHidden/>
          </w:rPr>
        </w:r>
        <w:r w:rsidRPr="007601D4">
          <w:rPr>
            <w:webHidden/>
          </w:rPr>
          <w:fldChar w:fldCharType="separate"/>
        </w:r>
        <w:r w:rsidRPr="007601D4">
          <w:rPr>
            <w:webHidden/>
          </w:rPr>
          <w:t>10</w:t>
        </w:r>
        <w:r w:rsidRPr="007601D4">
          <w:rPr>
            <w:webHidden/>
          </w:rPr>
          <w:fldChar w:fldCharType="end"/>
        </w:r>
      </w:hyperlink>
    </w:p>
    <w:p w14:paraId="6F731CCB" w14:textId="324183BB"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75" w:history="1">
        <w:r w:rsidRPr="007601D4">
          <w:rPr>
            <w:rStyle w:val="Hyperlink"/>
            <w:noProof w:val="0"/>
          </w:rPr>
          <w:t>A. Western Balkans Common Regional Market (CRM)</w:t>
        </w:r>
        <w:r w:rsidRPr="007601D4">
          <w:rPr>
            <w:noProof w:val="0"/>
            <w:webHidden/>
          </w:rPr>
          <w:tab/>
        </w:r>
        <w:r w:rsidRPr="007601D4">
          <w:rPr>
            <w:noProof w:val="0"/>
            <w:webHidden/>
          </w:rPr>
          <w:fldChar w:fldCharType="begin"/>
        </w:r>
        <w:r w:rsidRPr="007601D4">
          <w:rPr>
            <w:noProof w:val="0"/>
            <w:webHidden/>
          </w:rPr>
          <w:instrText xml:space="preserve"> PAGEREF _Toc228451775 \h </w:instrText>
        </w:r>
        <w:r w:rsidRPr="007601D4">
          <w:rPr>
            <w:noProof w:val="0"/>
            <w:webHidden/>
          </w:rPr>
        </w:r>
        <w:r w:rsidRPr="007601D4">
          <w:rPr>
            <w:noProof w:val="0"/>
            <w:webHidden/>
          </w:rPr>
          <w:fldChar w:fldCharType="separate"/>
        </w:r>
        <w:r w:rsidRPr="007601D4">
          <w:rPr>
            <w:noProof w:val="0"/>
            <w:webHidden/>
          </w:rPr>
          <w:t>10</w:t>
        </w:r>
        <w:r w:rsidRPr="007601D4">
          <w:rPr>
            <w:noProof w:val="0"/>
            <w:webHidden/>
          </w:rPr>
          <w:fldChar w:fldCharType="end"/>
        </w:r>
      </w:hyperlink>
    </w:p>
    <w:p w14:paraId="2E247C27" w14:textId="1692A627" w:rsidR="009F4DE7" w:rsidRPr="007601D4" w:rsidRDefault="009F4DE7">
      <w:pPr>
        <w:pStyle w:val="TOC3"/>
        <w:rPr>
          <w:rFonts w:asciiTheme="minorHAnsi" w:eastAsiaTheme="minorEastAsia" w:hAnsiTheme="minorHAnsi"/>
          <w:kern w:val="2"/>
          <w:szCs w:val="24"/>
          <w:lang w:eastAsia="en-GB"/>
          <w14:ligatures w14:val="standardContextual"/>
        </w:rPr>
      </w:pPr>
      <w:hyperlink w:anchor="_Toc228451776" w:history="1">
        <w:r w:rsidRPr="007601D4">
          <w:rPr>
            <w:rStyle w:val="Hyperlink"/>
          </w:rPr>
          <w:t>A1. Economic Competitiveness</w:t>
        </w:r>
        <w:r w:rsidRPr="007601D4">
          <w:rPr>
            <w:webHidden/>
          </w:rPr>
          <w:tab/>
        </w:r>
        <w:r w:rsidRPr="007601D4">
          <w:rPr>
            <w:webHidden/>
          </w:rPr>
          <w:fldChar w:fldCharType="begin"/>
        </w:r>
        <w:r w:rsidRPr="007601D4">
          <w:rPr>
            <w:webHidden/>
          </w:rPr>
          <w:instrText xml:space="preserve"> PAGEREF _Toc228451776 \h </w:instrText>
        </w:r>
        <w:r w:rsidRPr="007601D4">
          <w:rPr>
            <w:webHidden/>
          </w:rPr>
        </w:r>
        <w:r w:rsidRPr="007601D4">
          <w:rPr>
            <w:webHidden/>
          </w:rPr>
          <w:fldChar w:fldCharType="separate"/>
        </w:r>
        <w:r w:rsidRPr="007601D4">
          <w:rPr>
            <w:webHidden/>
          </w:rPr>
          <w:t>10</w:t>
        </w:r>
        <w:r w:rsidRPr="007601D4">
          <w:rPr>
            <w:webHidden/>
          </w:rPr>
          <w:fldChar w:fldCharType="end"/>
        </w:r>
      </w:hyperlink>
    </w:p>
    <w:p w14:paraId="48BBA6EE" w14:textId="0B1C2AC3" w:rsidR="009F4DE7" w:rsidRPr="007601D4" w:rsidRDefault="009F4DE7">
      <w:pPr>
        <w:pStyle w:val="TOC3"/>
        <w:rPr>
          <w:rFonts w:asciiTheme="minorHAnsi" w:eastAsiaTheme="minorEastAsia" w:hAnsiTheme="minorHAnsi"/>
          <w:kern w:val="2"/>
          <w:szCs w:val="24"/>
          <w:lang w:eastAsia="en-GB"/>
          <w14:ligatures w14:val="standardContextual"/>
        </w:rPr>
      </w:pPr>
      <w:hyperlink w:anchor="_Toc228451777" w:history="1">
        <w:r w:rsidRPr="007601D4">
          <w:rPr>
            <w:rStyle w:val="Hyperlink"/>
          </w:rPr>
          <w:t>A1.2. Industrial Development and Sustainable Tourism</w:t>
        </w:r>
        <w:r w:rsidRPr="007601D4">
          <w:rPr>
            <w:webHidden/>
          </w:rPr>
          <w:tab/>
        </w:r>
        <w:r w:rsidRPr="007601D4">
          <w:rPr>
            <w:webHidden/>
          </w:rPr>
          <w:fldChar w:fldCharType="begin"/>
        </w:r>
        <w:r w:rsidRPr="007601D4">
          <w:rPr>
            <w:webHidden/>
          </w:rPr>
          <w:instrText xml:space="preserve"> PAGEREF _Toc228451777 \h </w:instrText>
        </w:r>
        <w:r w:rsidRPr="007601D4">
          <w:rPr>
            <w:webHidden/>
          </w:rPr>
        </w:r>
        <w:r w:rsidRPr="007601D4">
          <w:rPr>
            <w:webHidden/>
          </w:rPr>
          <w:fldChar w:fldCharType="separate"/>
        </w:r>
        <w:r w:rsidRPr="007601D4">
          <w:rPr>
            <w:webHidden/>
          </w:rPr>
          <w:t>11</w:t>
        </w:r>
        <w:r w:rsidRPr="007601D4">
          <w:rPr>
            <w:webHidden/>
          </w:rPr>
          <w:fldChar w:fldCharType="end"/>
        </w:r>
      </w:hyperlink>
    </w:p>
    <w:p w14:paraId="61FFCC3B" w14:textId="0B865618"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78" w:history="1">
        <w:r w:rsidRPr="007601D4">
          <w:rPr>
            <w:rStyle w:val="Hyperlink"/>
            <w:noProof w:val="0"/>
          </w:rPr>
          <w:t>A2. Human Capital Development</w:t>
        </w:r>
        <w:r w:rsidRPr="007601D4">
          <w:rPr>
            <w:noProof w:val="0"/>
            <w:webHidden/>
          </w:rPr>
          <w:tab/>
        </w:r>
        <w:r w:rsidRPr="007601D4">
          <w:rPr>
            <w:noProof w:val="0"/>
            <w:webHidden/>
          </w:rPr>
          <w:fldChar w:fldCharType="begin"/>
        </w:r>
        <w:r w:rsidRPr="007601D4">
          <w:rPr>
            <w:noProof w:val="0"/>
            <w:webHidden/>
          </w:rPr>
          <w:instrText xml:space="preserve"> PAGEREF _Toc228451778 \h </w:instrText>
        </w:r>
        <w:r w:rsidRPr="007601D4">
          <w:rPr>
            <w:noProof w:val="0"/>
            <w:webHidden/>
          </w:rPr>
        </w:r>
        <w:r w:rsidRPr="007601D4">
          <w:rPr>
            <w:noProof w:val="0"/>
            <w:webHidden/>
          </w:rPr>
          <w:fldChar w:fldCharType="separate"/>
        </w:r>
        <w:r w:rsidRPr="007601D4">
          <w:rPr>
            <w:noProof w:val="0"/>
            <w:webHidden/>
          </w:rPr>
          <w:t>13</w:t>
        </w:r>
        <w:r w:rsidRPr="007601D4">
          <w:rPr>
            <w:noProof w:val="0"/>
            <w:webHidden/>
          </w:rPr>
          <w:fldChar w:fldCharType="end"/>
        </w:r>
      </w:hyperlink>
    </w:p>
    <w:p w14:paraId="2D4AD01F" w14:textId="3FEEC9F3" w:rsidR="009F4DE7" w:rsidRPr="007601D4" w:rsidRDefault="009F4DE7">
      <w:pPr>
        <w:pStyle w:val="TOC3"/>
        <w:rPr>
          <w:rFonts w:asciiTheme="minorHAnsi" w:eastAsiaTheme="minorEastAsia" w:hAnsiTheme="minorHAnsi"/>
          <w:kern w:val="2"/>
          <w:szCs w:val="24"/>
          <w:lang w:eastAsia="en-GB"/>
          <w14:ligatures w14:val="standardContextual"/>
        </w:rPr>
      </w:pPr>
      <w:hyperlink w:anchor="_Toc228451779" w:history="1">
        <w:r w:rsidRPr="007601D4">
          <w:rPr>
            <w:rStyle w:val="Hyperlink"/>
          </w:rPr>
          <w:t>A2.1. Research and Innovation Area</w:t>
        </w:r>
        <w:r w:rsidRPr="007601D4">
          <w:rPr>
            <w:webHidden/>
          </w:rPr>
          <w:tab/>
        </w:r>
        <w:r w:rsidRPr="007601D4">
          <w:rPr>
            <w:webHidden/>
          </w:rPr>
          <w:fldChar w:fldCharType="begin"/>
        </w:r>
        <w:r w:rsidRPr="007601D4">
          <w:rPr>
            <w:webHidden/>
          </w:rPr>
          <w:instrText xml:space="preserve"> PAGEREF _Toc228451779 \h </w:instrText>
        </w:r>
        <w:r w:rsidRPr="007601D4">
          <w:rPr>
            <w:webHidden/>
          </w:rPr>
        </w:r>
        <w:r w:rsidRPr="007601D4">
          <w:rPr>
            <w:webHidden/>
          </w:rPr>
          <w:fldChar w:fldCharType="separate"/>
        </w:r>
        <w:r w:rsidRPr="007601D4">
          <w:rPr>
            <w:webHidden/>
          </w:rPr>
          <w:t>13</w:t>
        </w:r>
        <w:r w:rsidRPr="007601D4">
          <w:rPr>
            <w:webHidden/>
          </w:rPr>
          <w:fldChar w:fldCharType="end"/>
        </w:r>
      </w:hyperlink>
    </w:p>
    <w:p w14:paraId="2A1F0330" w14:textId="3CB11AF2" w:rsidR="009F4DE7" w:rsidRPr="007601D4" w:rsidRDefault="009F4DE7">
      <w:pPr>
        <w:pStyle w:val="TOC3"/>
        <w:rPr>
          <w:rFonts w:asciiTheme="minorHAnsi" w:eastAsiaTheme="minorEastAsia" w:hAnsiTheme="minorHAnsi"/>
          <w:kern w:val="2"/>
          <w:szCs w:val="24"/>
          <w:lang w:eastAsia="en-GB"/>
          <w14:ligatures w14:val="standardContextual"/>
        </w:rPr>
      </w:pPr>
      <w:hyperlink w:anchor="_Toc228451780" w:history="1">
        <w:r w:rsidRPr="007601D4">
          <w:rPr>
            <w:rStyle w:val="Hyperlink"/>
            <w:rFonts w:eastAsia="Times New Roman"/>
            <w:lang w:eastAsia="en-GB"/>
          </w:rPr>
          <w:t>A2.2. Women’s Economic Empowerment and Regional Network of Women in STEM</w:t>
        </w:r>
        <w:r w:rsidRPr="007601D4">
          <w:rPr>
            <w:webHidden/>
          </w:rPr>
          <w:tab/>
        </w:r>
        <w:r w:rsidRPr="007601D4">
          <w:rPr>
            <w:webHidden/>
          </w:rPr>
          <w:fldChar w:fldCharType="begin"/>
        </w:r>
        <w:r w:rsidRPr="007601D4">
          <w:rPr>
            <w:webHidden/>
          </w:rPr>
          <w:instrText xml:space="preserve"> PAGEREF _Toc228451780 \h </w:instrText>
        </w:r>
        <w:r w:rsidRPr="007601D4">
          <w:rPr>
            <w:webHidden/>
          </w:rPr>
        </w:r>
        <w:r w:rsidRPr="007601D4">
          <w:rPr>
            <w:webHidden/>
          </w:rPr>
          <w:fldChar w:fldCharType="separate"/>
        </w:r>
        <w:r w:rsidRPr="007601D4">
          <w:rPr>
            <w:webHidden/>
          </w:rPr>
          <w:t>16</w:t>
        </w:r>
        <w:r w:rsidRPr="007601D4">
          <w:rPr>
            <w:webHidden/>
          </w:rPr>
          <w:fldChar w:fldCharType="end"/>
        </w:r>
      </w:hyperlink>
    </w:p>
    <w:p w14:paraId="02CA1EAF" w14:textId="13BF8E97" w:rsidR="009F4DE7" w:rsidRPr="007601D4" w:rsidRDefault="009F4DE7">
      <w:pPr>
        <w:pStyle w:val="TOC3"/>
        <w:rPr>
          <w:rFonts w:asciiTheme="minorHAnsi" w:eastAsiaTheme="minorEastAsia" w:hAnsiTheme="minorHAnsi"/>
          <w:kern w:val="2"/>
          <w:szCs w:val="24"/>
          <w:lang w:eastAsia="en-GB"/>
          <w14:ligatures w14:val="standardContextual"/>
        </w:rPr>
      </w:pPr>
      <w:hyperlink w:anchor="_Toc228451781" w:history="1">
        <w:r w:rsidRPr="007601D4">
          <w:rPr>
            <w:rStyle w:val="Hyperlink"/>
          </w:rPr>
          <w:t>A2.3. Free Movement of People</w:t>
        </w:r>
        <w:r w:rsidRPr="007601D4">
          <w:rPr>
            <w:webHidden/>
          </w:rPr>
          <w:tab/>
        </w:r>
        <w:r w:rsidRPr="007601D4">
          <w:rPr>
            <w:webHidden/>
          </w:rPr>
          <w:fldChar w:fldCharType="begin"/>
        </w:r>
        <w:r w:rsidRPr="007601D4">
          <w:rPr>
            <w:webHidden/>
          </w:rPr>
          <w:instrText xml:space="preserve"> PAGEREF _Toc228451781 \h </w:instrText>
        </w:r>
        <w:r w:rsidRPr="007601D4">
          <w:rPr>
            <w:webHidden/>
          </w:rPr>
        </w:r>
        <w:r w:rsidRPr="007601D4">
          <w:rPr>
            <w:webHidden/>
          </w:rPr>
          <w:fldChar w:fldCharType="separate"/>
        </w:r>
        <w:r w:rsidRPr="007601D4">
          <w:rPr>
            <w:webHidden/>
          </w:rPr>
          <w:t>17</w:t>
        </w:r>
        <w:r w:rsidRPr="007601D4">
          <w:rPr>
            <w:webHidden/>
          </w:rPr>
          <w:fldChar w:fldCharType="end"/>
        </w:r>
      </w:hyperlink>
    </w:p>
    <w:p w14:paraId="1F07D5AD" w14:textId="159505B1"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82" w:history="1">
        <w:r w:rsidRPr="007601D4">
          <w:rPr>
            <w:rStyle w:val="Hyperlink"/>
            <w:noProof w:val="0"/>
          </w:rPr>
          <w:t>A3. Digital Integration and Implementation of the Digital Agenda for Western Balkans</w:t>
        </w:r>
        <w:r w:rsidRPr="007601D4">
          <w:rPr>
            <w:noProof w:val="0"/>
            <w:webHidden/>
          </w:rPr>
          <w:tab/>
        </w:r>
        <w:r w:rsidRPr="007601D4">
          <w:rPr>
            <w:noProof w:val="0"/>
            <w:webHidden/>
          </w:rPr>
          <w:fldChar w:fldCharType="begin"/>
        </w:r>
        <w:r w:rsidRPr="007601D4">
          <w:rPr>
            <w:noProof w:val="0"/>
            <w:webHidden/>
          </w:rPr>
          <w:instrText xml:space="preserve"> PAGEREF _Toc228451782 \h </w:instrText>
        </w:r>
        <w:r w:rsidRPr="007601D4">
          <w:rPr>
            <w:noProof w:val="0"/>
            <w:webHidden/>
          </w:rPr>
        </w:r>
        <w:r w:rsidRPr="007601D4">
          <w:rPr>
            <w:noProof w:val="0"/>
            <w:webHidden/>
          </w:rPr>
          <w:fldChar w:fldCharType="separate"/>
        </w:r>
        <w:r w:rsidRPr="007601D4">
          <w:rPr>
            <w:noProof w:val="0"/>
            <w:webHidden/>
          </w:rPr>
          <w:t>19</w:t>
        </w:r>
        <w:r w:rsidRPr="007601D4">
          <w:rPr>
            <w:noProof w:val="0"/>
            <w:webHidden/>
          </w:rPr>
          <w:fldChar w:fldCharType="end"/>
        </w:r>
      </w:hyperlink>
    </w:p>
    <w:p w14:paraId="0A9D06E0" w14:textId="7C5E884A"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83" w:history="1">
        <w:r w:rsidRPr="007601D4">
          <w:rPr>
            <w:rStyle w:val="Hyperlink"/>
            <w:noProof w:val="0"/>
          </w:rPr>
          <w:t>A4. Sustainable Growth and Climate Change Resilience</w:t>
        </w:r>
        <w:r w:rsidRPr="007601D4">
          <w:rPr>
            <w:noProof w:val="0"/>
            <w:webHidden/>
          </w:rPr>
          <w:tab/>
        </w:r>
        <w:r w:rsidRPr="007601D4">
          <w:rPr>
            <w:noProof w:val="0"/>
            <w:webHidden/>
          </w:rPr>
          <w:fldChar w:fldCharType="begin"/>
        </w:r>
        <w:r w:rsidRPr="007601D4">
          <w:rPr>
            <w:noProof w:val="0"/>
            <w:webHidden/>
          </w:rPr>
          <w:instrText xml:space="preserve"> PAGEREF _Toc228451783 \h </w:instrText>
        </w:r>
        <w:r w:rsidRPr="007601D4">
          <w:rPr>
            <w:noProof w:val="0"/>
            <w:webHidden/>
          </w:rPr>
        </w:r>
        <w:r w:rsidRPr="007601D4">
          <w:rPr>
            <w:noProof w:val="0"/>
            <w:webHidden/>
          </w:rPr>
          <w:fldChar w:fldCharType="separate"/>
        </w:r>
        <w:r w:rsidRPr="007601D4">
          <w:rPr>
            <w:noProof w:val="0"/>
            <w:webHidden/>
          </w:rPr>
          <w:t>24</w:t>
        </w:r>
        <w:r w:rsidRPr="007601D4">
          <w:rPr>
            <w:noProof w:val="0"/>
            <w:webHidden/>
          </w:rPr>
          <w:fldChar w:fldCharType="end"/>
        </w:r>
      </w:hyperlink>
    </w:p>
    <w:p w14:paraId="451D6C42" w14:textId="6E6845E9"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84" w:history="1">
        <w:r w:rsidRPr="007601D4">
          <w:rPr>
            <w:rStyle w:val="Hyperlink"/>
            <w:rFonts w:eastAsia="Times New Roman"/>
            <w:noProof w:val="0"/>
          </w:rPr>
          <w:t xml:space="preserve">A5. </w:t>
        </w:r>
        <w:r w:rsidRPr="007601D4">
          <w:rPr>
            <w:rStyle w:val="Hyperlink"/>
            <w:noProof w:val="0"/>
          </w:rPr>
          <w:t>Projects</w:t>
        </w:r>
        <w:r w:rsidRPr="007601D4">
          <w:rPr>
            <w:noProof w:val="0"/>
            <w:webHidden/>
          </w:rPr>
          <w:tab/>
        </w:r>
        <w:r w:rsidRPr="007601D4">
          <w:rPr>
            <w:noProof w:val="0"/>
            <w:webHidden/>
          </w:rPr>
          <w:fldChar w:fldCharType="begin"/>
        </w:r>
        <w:r w:rsidRPr="007601D4">
          <w:rPr>
            <w:noProof w:val="0"/>
            <w:webHidden/>
          </w:rPr>
          <w:instrText xml:space="preserve"> PAGEREF _Toc228451784 \h </w:instrText>
        </w:r>
        <w:r w:rsidRPr="007601D4">
          <w:rPr>
            <w:noProof w:val="0"/>
            <w:webHidden/>
          </w:rPr>
        </w:r>
        <w:r w:rsidRPr="007601D4">
          <w:rPr>
            <w:noProof w:val="0"/>
            <w:webHidden/>
          </w:rPr>
          <w:fldChar w:fldCharType="separate"/>
        </w:r>
        <w:r w:rsidRPr="007601D4">
          <w:rPr>
            <w:noProof w:val="0"/>
            <w:webHidden/>
          </w:rPr>
          <w:t>29</w:t>
        </w:r>
        <w:r w:rsidRPr="007601D4">
          <w:rPr>
            <w:noProof w:val="0"/>
            <w:webHidden/>
          </w:rPr>
          <w:fldChar w:fldCharType="end"/>
        </w:r>
      </w:hyperlink>
    </w:p>
    <w:p w14:paraId="14CEF240" w14:textId="3B0FC8F6" w:rsidR="009F4DE7" w:rsidRPr="007601D4" w:rsidRDefault="009F4DE7">
      <w:pPr>
        <w:pStyle w:val="TOC3"/>
        <w:rPr>
          <w:rFonts w:asciiTheme="minorHAnsi" w:eastAsiaTheme="minorEastAsia" w:hAnsiTheme="minorHAnsi"/>
          <w:kern w:val="2"/>
          <w:szCs w:val="24"/>
          <w:lang w:eastAsia="en-GB"/>
          <w14:ligatures w14:val="standardContextual"/>
        </w:rPr>
      </w:pPr>
      <w:hyperlink w:anchor="_Toc228451785" w:history="1">
        <w:r w:rsidRPr="007601D4">
          <w:rPr>
            <w:rStyle w:val="Hyperlink"/>
          </w:rPr>
          <w:t>A5.1. Western Balkans Youth Lab Project (WBYL)</w:t>
        </w:r>
        <w:r w:rsidRPr="007601D4">
          <w:rPr>
            <w:webHidden/>
          </w:rPr>
          <w:tab/>
        </w:r>
        <w:r w:rsidRPr="007601D4">
          <w:rPr>
            <w:webHidden/>
          </w:rPr>
          <w:fldChar w:fldCharType="begin"/>
        </w:r>
        <w:r w:rsidRPr="007601D4">
          <w:rPr>
            <w:webHidden/>
          </w:rPr>
          <w:instrText xml:space="preserve"> PAGEREF _Toc228451785 \h </w:instrText>
        </w:r>
        <w:r w:rsidRPr="007601D4">
          <w:rPr>
            <w:webHidden/>
          </w:rPr>
        </w:r>
        <w:r w:rsidRPr="007601D4">
          <w:rPr>
            <w:webHidden/>
          </w:rPr>
          <w:fldChar w:fldCharType="separate"/>
        </w:r>
        <w:r w:rsidRPr="007601D4">
          <w:rPr>
            <w:webHidden/>
          </w:rPr>
          <w:t>29</w:t>
        </w:r>
        <w:r w:rsidRPr="007601D4">
          <w:rPr>
            <w:webHidden/>
          </w:rPr>
          <w:fldChar w:fldCharType="end"/>
        </w:r>
      </w:hyperlink>
    </w:p>
    <w:p w14:paraId="623045A8" w14:textId="197FFB44" w:rsidR="009F4DE7" w:rsidRPr="007601D4" w:rsidRDefault="009F4DE7">
      <w:pPr>
        <w:pStyle w:val="TOC3"/>
        <w:rPr>
          <w:rFonts w:asciiTheme="minorHAnsi" w:eastAsiaTheme="minorEastAsia" w:hAnsiTheme="minorHAnsi"/>
          <w:kern w:val="2"/>
          <w:szCs w:val="24"/>
          <w:lang w:eastAsia="en-GB"/>
          <w14:ligatures w14:val="standardContextual"/>
        </w:rPr>
      </w:pPr>
      <w:hyperlink w:anchor="_Toc228451786" w:history="1">
        <w:r w:rsidRPr="007601D4">
          <w:rPr>
            <w:rStyle w:val="Hyperlink"/>
            <w:rFonts w:eastAsia="Calibri"/>
          </w:rPr>
          <w:t>A5.2. Integrative Internal Security Governance (IISG)</w:t>
        </w:r>
        <w:r w:rsidRPr="007601D4">
          <w:rPr>
            <w:webHidden/>
          </w:rPr>
          <w:tab/>
        </w:r>
        <w:r w:rsidRPr="007601D4">
          <w:rPr>
            <w:webHidden/>
          </w:rPr>
          <w:fldChar w:fldCharType="begin"/>
        </w:r>
        <w:r w:rsidRPr="007601D4">
          <w:rPr>
            <w:webHidden/>
          </w:rPr>
          <w:instrText xml:space="preserve"> PAGEREF _Toc228451786 \h </w:instrText>
        </w:r>
        <w:r w:rsidRPr="007601D4">
          <w:rPr>
            <w:webHidden/>
          </w:rPr>
        </w:r>
        <w:r w:rsidRPr="007601D4">
          <w:rPr>
            <w:webHidden/>
          </w:rPr>
          <w:fldChar w:fldCharType="separate"/>
        </w:r>
        <w:r w:rsidRPr="007601D4">
          <w:rPr>
            <w:webHidden/>
          </w:rPr>
          <w:t>33</w:t>
        </w:r>
        <w:r w:rsidRPr="007601D4">
          <w:rPr>
            <w:webHidden/>
          </w:rPr>
          <w:fldChar w:fldCharType="end"/>
        </w:r>
      </w:hyperlink>
    </w:p>
    <w:p w14:paraId="70ED3803" w14:textId="3B34CE5C" w:rsidR="009F4DE7" w:rsidRPr="007601D4" w:rsidRDefault="009F4DE7">
      <w:pPr>
        <w:pStyle w:val="TOC3"/>
        <w:rPr>
          <w:rFonts w:asciiTheme="minorHAnsi" w:eastAsiaTheme="minorEastAsia" w:hAnsiTheme="minorHAnsi"/>
          <w:kern w:val="2"/>
          <w:szCs w:val="24"/>
          <w:lang w:eastAsia="en-GB"/>
          <w14:ligatures w14:val="standardContextual"/>
        </w:rPr>
      </w:pPr>
      <w:hyperlink w:anchor="_Toc228451787" w:history="1">
        <w:r w:rsidRPr="007601D4">
          <w:rPr>
            <w:rStyle w:val="Hyperlink"/>
          </w:rPr>
          <w:t xml:space="preserve">A5.3. Employment and Social Affairs Platform (ESAP </w:t>
        </w:r>
        <w:r w:rsidR="009A3DB9">
          <w:rPr>
            <w:rStyle w:val="Hyperlink"/>
          </w:rPr>
          <w:t>3</w:t>
        </w:r>
        <w:r w:rsidRPr="007601D4">
          <w:rPr>
            <w:rStyle w:val="Hyperlink"/>
          </w:rPr>
          <w:t>)</w:t>
        </w:r>
        <w:r w:rsidRPr="007601D4">
          <w:rPr>
            <w:webHidden/>
          </w:rPr>
          <w:tab/>
        </w:r>
        <w:r w:rsidRPr="007601D4">
          <w:rPr>
            <w:webHidden/>
          </w:rPr>
          <w:fldChar w:fldCharType="begin"/>
        </w:r>
        <w:r w:rsidRPr="007601D4">
          <w:rPr>
            <w:webHidden/>
          </w:rPr>
          <w:instrText xml:space="preserve"> PAGEREF _Toc228451787 \h </w:instrText>
        </w:r>
        <w:r w:rsidRPr="007601D4">
          <w:rPr>
            <w:webHidden/>
          </w:rPr>
        </w:r>
        <w:r w:rsidRPr="007601D4">
          <w:rPr>
            <w:webHidden/>
          </w:rPr>
          <w:fldChar w:fldCharType="separate"/>
        </w:r>
        <w:r w:rsidRPr="007601D4">
          <w:rPr>
            <w:webHidden/>
          </w:rPr>
          <w:t>35</w:t>
        </w:r>
        <w:r w:rsidRPr="007601D4">
          <w:rPr>
            <w:webHidden/>
          </w:rPr>
          <w:fldChar w:fldCharType="end"/>
        </w:r>
      </w:hyperlink>
    </w:p>
    <w:p w14:paraId="578AC034" w14:textId="5D14E582" w:rsidR="009F4DE7" w:rsidRPr="007601D4" w:rsidRDefault="009F4DE7">
      <w:pPr>
        <w:pStyle w:val="TOC1"/>
        <w:tabs>
          <w:tab w:val="right" w:leader="dot" w:pos="9016"/>
        </w:tabs>
        <w:rPr>
          <w:rFonts w:asciiTheme="minorHAnsi" w:eastAsiaTheme="minorEastAsia" w:hAnsiTheme="minorHAnsi"/>
          <w:kern w:val="2"/>
          <w:szCs w:val="24"/>
          <w:lang w:eastAsia="en-GB"/>
          <w14:ligatures w14:val="standardContextual"/>
        </w:rPr>
      </w:pPr>
      <w:hyperlink w:anchor="_Toc228451788" w:history="1">
        <w:r w:rsidRPr="007601D4">
          <w:rPr>
            <w:rStyle w:val="Hyperlink"/>
            <w:rFonts w:eastAsia="Times New Roman"/>
            <w:lang w:eastAsia="sr-Latn-RS" w:bidi="en-US"/>
          </w:rPr>
          <w:t>B. Political Cooperation, Good Governance and Security</w:t>
        </w:r>
        <w:r w:rsidRPr="007601D4">
          <w:rPr>
            <w:webHidden/>
          </w:rPr>
          <w:tab/>
        </w:r>
        <w:r w:rsidRPr="007601D4">
          <w:rPr>
            <w:webHidden/>
          </w:rPr>
          <w:fldChar w:fldCharType="begin"/>
        </w:r>
        <w:r w:rsidRPr="007601D4">
          <w:rPr>
            <w:webHidden/>
          </w:rPr>
          <w:instrText xml:space="preserve"> PAGEREF _Toc228451788 \h </w:instrText>
        </w:r>
        <w:r w:rsidRPr="007601D4">
          <w:rPr>
            <w:webHidden/>
          </w:rPr>
        </w:r>
        <w:r w:rsidRPr="007601D4">
          <w:rPr>
            <w:webHidden/>
          </w:rPr>
          <w:fldChar w:fldCharType="separate"/>
        </w:r>
        <w:r w:rsidRPr="007601D4">
          <w:rPr>
            <w:webHidden/>
          </w:rPr>
          <w:t>38</w:t>
        </w:r>
        <w:r w:rsidRPr="007601D4">
          <w:rPr>
            <w:webHidden/>
          </w:rPr>
          <w:fldChar w:fldCharType="end"/>
        </w:r>
      </w:hyperlink>
    </w:p>
    <w:p w14:paraId="00FC6123" w14:textId="209FE372"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89" w:history="1">
        <w:r w:rsidRPr="007601D4">
          <w:rPr>
            <w:rStyle w:val="Hyperlink"/>
            <w:noProof w:val="0"/>
          </w:rPr>
          <w:t>B1. Political Cooperation</w:t>
        </w:r>
        <w:r w:rsidRPr="007601D4">
          <w:rPr>
            <w:noProof w:val="0"/>
            <w:webHidden/>
          </w:rPr>
          <w:tab/>
        </w:r>
        <w:r w:rsidRPr="007601D4">
          <w:rPr>
            <w:noProof w:val="0"/>
            <w:webHidden/>
          </w:rPr>
          <w:fldChar w:fldCharType="begin"/>
        </w:r>
        <w:r w:rsidRPr="007601D4">
          <w:rPr>
            <w:noProof w:val="0"/>
            <w:webHidden/>
          </w:rPr>
          <w:instrText xml:space="preserve"> PAGEREF _Toc228451789 \h </w:instrText>
        </w:r>
        <w:r w:rsidRPr="007601D4">
          <w:rPr>
            <w:noProof w:val="0"/>
            <w:webHidden/>
          </w:rPr>
        </w:r>
        <w:r w:rsidRPr="007601D4">
          <w:rPr>
            <w:noProof w:val="0"/>
            <w:webHidden/>
          </w:rPr>
          <w:fldChar w:fldCharType="separate"/>
        </w:r>
        <w:r w:rsidRPr="007601D4">
          <w:rPr>
            <w:noProof w:val="0"/>
            <w:webHidden/>
          </w:rPr>
          <w:t>38</w:t>
        </w:r>
        <w:r w:rsidRPr="007601D4">
          <w:rPr>
            <w:noProof w:val="0"/>
            <w:webHidden/>
          </w:rPr>
          <w:fldChar w:fldCharType="end"/>
        </w:r>
      </w:hyperlink>
    </w:p>
    <w:p w14:paraId="6D2731D0" w14:textId="65D97F1C"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90" w:history="1">
        <w:r w:rsidRPr="007601D4">
          <w:rPr>
            <w:rStyle w:val="Hyperlink"/>
            <w:noProof w:val="0"/>
          </w:rPr>
          <w:t>B2. SEE2030 Strategy</w:t>
        </w:r>
        <w:r w:rsidRPr="007601D4">
          <w:rPr>
            <w:noProof w:val="0"/>
            <w:webHidden/>
          </w:rPr>
          <w:tab/>
        </w:r>
        <w:r w:rsidRPr="007601D4">
          <w:rPr>
            <w:noProof w:val="0"/>
            <w:webHidden/>
          </w:rPr>
          <w:fldChar w:fldCharType="begin"/>
        </w:r>
        <w:r w:rsidRPr="007601D4">
          <w:rPr>
            <w:noProof w:val="0"/>
            <w:webHidden/>
          </w:rPr>
          <w:instrText xml:space="preserve"> PAGEREF _Toc228451790 \h </w:instrText>
        </w:r>
        <w:r w:rsidRPr="007601D4">
          <w:rPr>
            <w:noProof w:val="0"/>
            <w:webHidden/>
          </w:rPr>
        </w:r>
        <w:r w:rsidRPr="007601D4">
          <w:rPr>
            <w:noProof w:val="0"/>
            <w:webHidden/>
          </w:rPr>
          <w:fldChar w:fldCharType="separate"/>
        </w:r>
        <w:r w:rsidRPr="007601D4">
          <w:rPr>
            <w:noProof w:val="0"/>
            <w:webHidden/>
          </w:rPr>
          <w:t>43</w:t>
        </w:r>
        <w:r w:rsidRPr="007601D4">
          <w:rPr>
            <w:noProof w:val="0"/>
            <w:webHidden/>
          </w:rPr>
          <w:fldChar w:fldCharType="end"/>
        </w:r>
      </w:hyperlink>
    </w:p>
    <w:p w14:paraId="13AED7F3" w14:textId="47628BA9"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91" w:history="1">
        <w:r w:rsidRPr="007601D4">
          <w:rPr>
            <w:rStyle w:val="Hyperlink"/>
            <w:noProof w:val="0"/>
          </w:rPr>
          <w:t>B3. Parliamentary Cooperation</w:t>
        </w:r>
        <w:r w:rsidRPr="007601D4">
          <w:rPr>
            <w:noProof w:val="0"/>
            <w:webHidden/>
          </w:rPr>
          <w:tab/>
        </w:r>
        <w:r w:rsidRPr="007601D4">
          <w:rPr>
            <w:noProof w:val="0"/>
            <w:webHidden/>
          </w:rPr>
          <w:fldChar w:fldCharType="begin"/>
        </w:r>
        <w:r w:rsidRPr="007601D4">
          <w:rPr>
            <w:noProof w:val="0"/>
            <w:webHidden/>
          </w:rPr>
          <w:instrText xml:space="preserve"> PAGEREF _Toc228451791 \h </w:instrText>
        </w:r>
        <w:r w:rsidRPr="007601D4">
          <w:rPr>
            <w:noProof w:val="0"/>
            <w:webHidden/>
          </w:rPr>
        </w:r>
        <w:r w:rsidRPr="007601D4">
          <w:rPr>
            <w:noProof w:val="0"/>
            <w:webHidden/>
          </w:rPr>
          <w:fldChar w:fldCharType="separate"/>
        </w:r>
        <w:r w:rsidRPr="007601D4">
          <w:rPr>
            <w:noProof w:val="0"/>
            <w:webHidden/>
          </w:rPr>
          <w:t>48</w:t>
        </w:r>
        <w:r w:rsidRPr="007601D4">
          <w:rPr>
            <w:noProof w:val="0"/>
            <w:webHidden/>
          </w:rPr>
          <w:fldChar w:fldCharType="end"/>
        </w:r>
      </w:hyperlink>
    </w:p>
    <w:p w14:paraId="359F4D22" w14:textId="26AE53CE"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92" w:history="1">
        <w:r w:rsidRPr="007601D4">
          <w:rPr>
            <w:rStyle w:val="Hyperlink"/>
            <w:noProof w:val="0"/>
          </w:rPr>
          <w:t>B4. Good Governance</w:t>
        </w:r>
        <w:r w:rsidRPr="007601D4">
          <w:rPr>
            <w:noProof w:val="0"/>
            <w:webHidden/>
          </w:rPr>
          <w:tab/>
        </w:r>
        <w:r w:rsidRPr="007601D4">
          <w:rPr>
            <w:noProof w:val="0"/>
            <w:webHidden/>
          </w:rPr>
          <w:fldChar w:fldCharType="begin"/>
        </w:r>
        <w:r w:rsidRPr="007601D4">
          <w:rPr>
            <w:noProof w:val="0"/>
            <w:webHidden/>
          </w:rPr>
          <w:instrText xml:space="preserve"> PAGEREF _Toc228451792 \h </w:instrText>
        </w:r>
        <w:r w:rsidRPr="007601D4">
          <w:rPr>
            <w:noProof w:val="0"/>
            <w:webHidden/>
          </w:rPr>
        </w:r>
        <w:r w:rsidRPr="007601D4">
          <w:rPr>
            <w:noProof w:val="0"/>
            <w:webHidden/>
          </w:rPr>
          <w:fldChar w:fldCharType="separate"/>
        </w:r>
        <w:r w:rsidRPr="007601D4">
          <w:rPr>
            <w:noProof w:val="0"/>
            <w:webHidden/>
          </w:rPr>
          <w:t>48</w:t>
        </w:r>
        <w:r w:rsidRPr="007601D4">
          <w:rPr>
            <w:noProof w:val="0"/>
            <w:webHidden/>
          </w:rPr>
          <w:fldChar w:fldCharType="end"/>
        </w:r>
      </w:hyperlink>
    </w:p>
    <w:p w14:paraId="3B5EF29C" w14:textId="72A4CDE0"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93" w:history="1">
        <w:r w:rsidRPr="007601D4">
          <w:rPr>
            <w:rStyle w:val="Hyperlink"/>
            <w:noProof w:val="0"/>
          </w:rPr>
          <w:t>B5. Security Cooperation</w:t>
        </w:r>
        <w:r w:rsidRPr="007601D4">
          <w:rPr>
            <w:noProof w:val="0"/>
            <w:webHidden/>
          </w:rPr>
          <w:tab/>
        </w:r>
        <w:r w:rsidRPr="007601D4">
          <w:rPr>
            <w:noProof w:val="0"/>
            <w:webHidden/>
          </w:rPr>
          <w:fldChar w:fldCharType="begin"/>
        </w:r>
        <w:r w:rsidRPr="007601D4">
          <w:rPr>
            <w:noProof w:val="0"/>
            <w:webHidden/>
          </w:rPr>
          <w:instrText xml:space="preserve"> PAGEREF _Toc228451793 \h </w:instrText>
        </w:r>
        <w:r w:rsidRPr="007601D4">
          <w:rPr>
            <w:noProof w:val="0"/>
            <w:webHidden/>
          </w:rPr>
        </w:r>
        <w:r w:rsidRPr="007601D4">
          <w:rPr>
            <w:noProof w:val="0"/>
            <w:webHidden/>
          </w:rPr>
          <w:fldChar w:fldCharType="separate"/>
        </w:r>
        <w:r w:rsidRPr="007601D4">
          <w:rPr>
            <w:noProof w:val="0"/>
            <w:webHidden/>
          </w:rPr>
          <w:t>49</w:t>
        </w:r>
        <w:r w:rsidRPr="007601D4">
          <w:rPr>
            <w:noProof w:val="0"/>
            <w:webHidden/>
          </w:rPr>
          <w:fldChar w:fldCharType="end"/>
        </w:r>
      </w:hyperlink>
    </w:p>
    <w:p w14:paraId="448E1BAB" w14:textId="055D4C95" w:rsidR="009F4DE7" w:rsidRPr="007601D4" w:rsidRDefault="009F4DE7">
      <w:pPr>
        <w:pStyle w:val="TOC1"/>
        <w:tabs>
          <w:tab w:val="right" w:leader="dot" w:pos="9016"/>
        </w:tabs>
        <w:rPr>
          <w:rFonts w:asciiTheme="minorHAnsi" w:eastAsiaTheme="minorEastAsia" w:hAnsiTheme="minorHAnsi"/>
          <w:kern w:val="2"/>
          <w:szCs w:val="24"/>
          <w:lang w:eastAsia="en-GB"/>
          <w14:ligatures w14:val="standardContextual"/>
        </w:rPr>
      </w:pPr>
      <w:hyperlink w:anchor="_Toc228451794" w:history="1">
        <w:r w:rsidRPr="007601D4">
          <w:rPr>
            <w:rStyle w:val="Hyperlink"/>
          </w:rPr>
          <w:t>C. Horizontal Activities</w:t>
        </w:r>
        <w:r w:rsidRPr="007601D4">
          <w:rPr>
            <w:webHidden/>
          </w:rPr>
          <w:tab/>
        </w:r>
        <w:r w:rsidRPr="007601D4">
          <w:rPr>
            <w:webHidden/>
          </w:rPr>
          <w:fldChar w:fldCharType="begin"/>
        </w:r>
        <w:r w:rsidRPr="007601D4">
          <w:rPr>
            <w:webHidden/>
          </w:rPr>
          <w:instrText xml:space="preserve"> PAGEREF _Toc228451794 \h </w:instrText>
        </w:r>
        <w:r w:rsidRPr="007601D4">
          <w:rPr>
            <w:webHidden/>
          </w:rPr>
        </w:r>
        <w:r w:rsidRPr="007601D4">
          <w:rPr>
            <w:webHidden/>
          </w:rPr>
          <w:fldChar w:fldCharType="separate"/>
        </w:r>
        <w:r w:rsidRPr="007601D4">
          <w:rPr>
            <w:webHidden/>
          </w:rPr>
          <w:t>53</w:t>
        </w:r>
        <w:r w:rsidRPr="007601D4">
          <w:rPr>
            <w:webHidden/>
          </w:rPr>
          <w:fldChar w:fldCharType="end"/>
        </w:r>
      </w:hyperlink>
    </w:p>
    <w:p w14:paraId="1AC85686" w14:textId="780A4309"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95" w:history="1">
        <w:r w:rsidRPr="007601D4">
          <w:rPr>
            <w:rStyle w:val="Hyperlink"/>
            <w:noProof w:val="0"/>
          </w:rPr>
          <w:t>C1. Programming, Monitoring, Coordination</w:t>
        </w:r>
        <w:r w:rsidRPr="007601D4">
          <w:rPr>
            <w:noProof w:val="0"/>
            <w:webHidden/>
          </w:rPr>
          <w:tab/>
        </w:r>
        <w:r w:rsidRPr="007601D4">
          <w:rPr>
            <w:noProof w:val="0"/>
            <w:webHidden/>
          </w:rPr>
          <w:fldChar w:fldCharType="begin"/>
        </w:r>
        <w:r w:rsidRPr="007601D4">
          <w:rPr>
            <w:noProof w:val="0"/>
            <w:webHidden/>
          </w:rPr>
          <w:instrText xml:space="preserve"> PAGEREF _Toc228451795 \h </w:instrText>
        </w:r>
        <w:r w:rsidRPr="007601D4">
          <w:rPr>
            <w:noProof w:val="0"/>
            <w:webHidden/>
          </w:rPr>
        </w:r>
        <w:r w:rsidRPr="007601D4">
          <w:rPr>
            <w:noProof w:val="0"/>
            <w:webHidden/>
          </w:rPr>
          <w:fldChar w:fldCharType="separate"/>
        </w:r>
        <w:r w:rsidRPr="007601D4">
          <w:rPr>
            <w:noProof w:val="0"/>
            <w:webHidden/>
          </w:rPr>
          <w:t>53</w:t>
        </w:r>
        <w:r w:rsidRPr="007601D4">
          <w:rPr>
            <w:noProof w:val="0"/>
            <w:webHidden/>
          </w:rPr>
          <w:fldChar w:fldCharType="end"/>
        </w:r>
      </w:hyperlink>
    </w:p>
    <w:p w14:paraId="12AC1FA2" w14:textId="5DEEE7B6"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96" w:history="1">
        <w:r w:rsidRPr="007601D4">
          <w:rPr>
            <w:rStyle w:val="Hyperlink"/>
            <w:noProof w:val="0"/>
          </w:rPr>
          <w:t>C2. Communication</w:t>
        </w:r>
        <w:r w:rsidRPr="007601D4">
          <w:rPr>
            <w:noProof w:val="0"/>
            <w:webHidden/>
          </w:rPr>
          <w:tab/>
        </w:r>
        <w:r w:rsidRPr="007601D4">
          <w:rPr>
            <w:noProof w:val="0"/>
            <w:webHidden/>
          </w:rPr>
          <w:fldChar w:fldCharType="begin"/>
        </w:r>
        <w:r w:rsidRPr="007601D4">
          <w:rPr>
            <w:noProof w:val="0"/>
            <w:webHidden/>
          </w:rPr>
          <w:instrText xml:space="preserve"> PAGEREF _Toc228451796 \h </w:instrText>
        </w:r>
        <w:r w:rsidRPr="007601D4">
          <w:rPr>
            <w:noProof w:val="0"/>
            <w:webHidden/>
          </w:rPr>
        </w:r>
        <w:r w:rsidRPr="007601D4">
          <w:rPr>
            <w:noProof w:val="0"/>
            <w:webHidden/>
          </w:rPr>
          <w:fldChar w:fldCharType="separate"/>
        </w:r>
        <w:r w:rsidRPr="007601D4">
          <w:rPr>
            <w:noProof w:val="0"/>
            <w:webHidden/>
          </w:rPr>
          <w:t>56</w:t>
        </w:r>
        <w:r w:rsidRPr="007601D4">
          <w:rPr>
            <w:noProof w:val="0"/>
            <w:webHidden/>
          </w:rPr>
          <w:fldChar w:fldCharType="end"/>
        </w:r>
      </w:hyperlink>
    </w:p>
    <w:p w14:paraId="7046523B" w14:textId="6740CD64" w:rsidR="009F4DE7" w:rsidRPr="007601D4" w:rsidRDefault="009F4DE7">
      <w:pPr>
        <w:pStyle w:val="TOC2"/>
        <w:rPr>
          <w:rFonts w:asciiTheme="minorHAnsi" w:eastAsiaTheme="minorEastAsia" w:hAnsiTheme="minorHAnsi"/>
          <w:noProof w:val="0"/>
          <w:kern w:val="2"/>
          <w:szCs w:val="24"/>
          <w:lang w:eastAsia="en-GB"/>
          <w14:ligatures w14:val="standardContextual"/>
        </w:rPr>
      </w:pPr>
      <w:hyperlink w:anchor="_Toc228451797" w:history="1">
        <w:r w:rsidRPr="007601D4">
          <w:rPr>
            <w:rStyle w:val="Hyperlink"/>
            <w:noProof w:val="0"/>
          </w:rPr>
          <w:t>C3. Extending partnerships</w:t>
        </w:r>
        <w:r w:rsidRPr="007601D4">
          <w:rPr>
            <w:noProof w:val="0"/>
            <w:webHidden/>
          </w:rPr>
          <w:tab/>
        </w:r>
        <w:r w:rsidRPr="007601D4">
          <w:rPr>
            <w:noProof w:val="0"/>
            <w:webHidden/>
          </w:rPr>
          <w:fldChar w:fldCharType="begin"/>
        </w:r>
        <w:r w:rsidRPr="007601D4">
          <w:rPr>
            <w:noProof w:val="0"/>
            <w:webHidden/>
          </w:rPr>
          <w:instrText xml:space="preserve"> PAGEREF _Toc228451797 \h </w:instrText>
        </w:r>
        <w:r w:rsidRPr="007601D4">
          <w:rPr>
            <w:noProof w:val="0"/>
            <w:webHidden/>
          </w:rPr>
        </w:r>
        <w:r w:rsidRPr="007601D4">
          <w:rPr>
            <w:noProof w:val="0"/>
            <w:webHidden/>
          </w:rPr>
          <w:fldChar w:fldCharType="separate"/>
        </w:r>
        <w:r w:rsidRPr="007601D4">
          <w:rPr>
            <w:noProof w:val="0"/>
            <w:webHidden/>
          </w:rPr>
          <w:t>58</w:t>
        </w:r>
        <w:r w:rsidRPr="007601D4">
          <w:rPr>
            <w:noProof w:val="0"/>
            <w:webHidden/>
          </w:rPr>
          <w:fldChar w:fldCharType="end"/>
        </w:r>
      </w:hyperlink>
    </w:p>
    <w:p w14:paraId="54CD8D1B" w14:textId="73954620" w:rsidR="009F4DE7" w:rsidRPr="007601D4" w:rsidRDefault="009F4DE7">
      <w:pPr>
        <w:pStyle w:val="TOC1"/>
        <w:tabs>
          <w:tab w:val="right" w:leader="dot" w:pos="9016"/>
        </w:tabs>
        <w:rPr>
          <w:rFonts w:asciiTheme="minorHAnsi" w:eastAsiaTheme="minorEastAsia" w:hAnsiTheme="minorHAnsi"/>
          <w:kern w:val="2"/>
          <w:szCs w:val="24"/>
          <w:lang w:eastAsia="en-GB"/>
          <w14:ligatures w14:val="standardContextual"/>
        </w:rPr>
      </w:pPr>
      <w:hyperlink w:anchor="_Toc228451798" w:history="1">
        <w:r w:rsidRPr="007601D4">
          <w:rPr>
            <w:rStyle w:val="Hyperlink"/>
            <w:rFonts w:eastAsia="Times New Roman"/>
          </w:rPr>
          <w:t>Abbreviations</w:t>
        </w:r>
        <w:r w:rsidRPr="007601D4">
          <w:rPr>
            <w:webHidden/>
          </w:rPr>
          <w:tab/>
        </w:r>
        <w:r w:rsidRPr="007601D4">
          <w:rPr>
            <w:webHidden/>
          </w:rPr>
          <w:fldChar w:fldCharType="begin"/>
        </w:r>
        <w:r w:rsidRPr="007601D4">
          <w:rPr>
            <w:webHidden/>
          </w:rPr>
          <w:instrText xml:space="preserve"> PAGEREF _Toc228451798 \h </w:instrText>
        </w:r>
        <w:r w:rsidRPr="007601D4">
          <w:rPr>
            <w:webHidden/>
          </w:rPr>
        </w:r>
        <w:r w:rsidRPr="007601D4">
          <w:rPr>
            <w:webHidden/>
          </w:rPr>
          <w:fldChar w:fldCharType="separate"/>
        </w:r>
        <w:r w:rsidRPr="007601D4">
          <w:rPr>
            <w:webHidden/>
          </w:rPr>
          <w:t>61</w:t>
        </w:r>
        <w:r w:rsidRPr="007601D4">
          <w:rPr>
            <w:webHidden/>
          </w:rPr>
          <w:fldChar w:fldCharType="end"/>
        </w:r>
      </w:hyperlink>
    </w:p>
    <w:p w14:paraId="52AF6673" w14:textId="77777777" w:rsidR="00322980" w:rsidRPr="007601D4" w:rsidRDefault="00391D48" w:rsidP="0004382C">
      <w:pPr>
        <w:pStyle w:val="Heading1"/>
        <w:numPr>
          <w:ilvl w:val="0"/>
          <w:numId w:val="0"/>
        </w:numPr>
        <w:spacing w:line="360" w:lineRule="auto"/>
        <w:rPr>
          <w:color w:val="2E74B5" w:themeColor="accent1" w:themeShade="BF"/>
        </w:rPr>
      </w:pPr>
      <w:r w:rsidRPr="007601D4">
        <w:rPr>
          <w:color w:val="2E74B5" w:themeColor="accent1" w:themeShade="BF"/>
        </w:rPr>
        <w:fldChar w:fldCharType="end"/>
      </w:r>
    </w:p>
    <w:p w14:paraId="702C9675" w14:textId="77777777" w:rsidR="00322980" w:rsidRPr="007601D4" w:rsidRDefault="00322980">
      <w:pPr>
        <w:spacing w:before="0" w:after="160" w:line="259" w:lineRule="auto"/>
        <w:jc w:val="left"/>
        <w:rPr>
          <w:rFonts w:eastAsiaTheme="majorEastAsia" w:cstheme="majorBidi"/>
          <w:color w:val="2E74B5" w:themeColor="accent1" w:themeShade="BF"/>
          <w:sz w:val="32"/>
          <w:szCs w:val="32"/>
        </w:rPr>
      </w:pPr>
      <w:r w:rsidRPr="007601D4">
        <w:rPr>
          <w:color w:val="2E74B5" w:themeColor="accent1" w:themeShade="BF"/>
        </w:rPr>
        <w:br w:type="page"/>
      </w:r>
    </w:p>
    <w:p w14:paraId="7ED723E7" w14:textId="2DFA2365" w:rsidR="00B61CAB" w:rsidRPr="007601D4" w:rsidRDefault="00B61CAB" w:rsidP="0004382C">
      <w:pPr>
        <w:pStyle w:val="Heading1"/>
        <w:numPr>
          <w:ilvl w:val="0"/>
          <w:numId w:val="0"/>
        </w:numPr>
        <w:spacing w:line="360" w:lineRule="auto"/>
      </w:pPr>
      <w:bookmarkStart w:id="5" w:name="_Toc228451772"/>
      <w:r w:rsidRPr="007601D4">
        <w:lastRenderedPageBreak/>
        <w:t>Foreword</w:t>
      </w:r>
      <w:bookmarkEnd w:id="5"/>
    </w:p>
    <w:p w14:paraId="00F3FE3B" w14:textId="7157AFE8" w:rsidR="00996149" w:rsidRPr="007601D4" w:rsidRDefault="00996149" w:rsidP="00996149">
      <w:pPr>
        <w:spacing w:line="360" w:lineRule="auto"/>
        <w:rPr>
          <w:rFonts w:cs="Times New Roman"/>
        </w:rPr>
      </w:pPr>
      <w:r w:rsidRPr="007601D4">
        <w:rPr>
          <w:rFonts w:cs="Times New Roman"/>
        </w:rPr>
        <w:t xml:space="preserve">When the Regional Cooperation Council </w:t>
      </w:r>
      <w:r w:rsidR="00EC58BE">
        <w:rPr>
          <w:rFonts w:cs="Times New Roman"/>
        </w:rPr>
        <w:t xml:space="preserve">(RCC) </w:t>
      </w:r>
      <w:r w:rsidRPr="007601D4">
        <w:rPr>
          <w:rFonts w:cs="Times New Roman"/>
        </w:rPr>
        <w:t>entered this reporting year, the question before us was not whether regional cooperation still matters. It was whether it could move fast enough, work concretely enough, and prove its value clearly enough in a world that is becoming more fragmented, less predictable and less patient with slow delivery.</w:t>
      </w:r>
    </w:p>
    <w:p w14:paraId="2B6CD422" w14:textId="68C2DC67" w:rsidR="00996149" w:rsidRPr="007601D4" w:rsidRDefault="00996149" w:rsidP="00996149">
      <w:pPr>
        <w:spacing w:line="360" w:lineRule="auto"/>
        <w:rPr>
          <w:rFonts w:cs="Times New Roman"/>
        </w:rPr>
      </w:pPr>
      <w:r w:rsidRPr="007601D4">
        <w:rPr>
          <w:rFonts w:cs="Times New Roman"/>
        </w:rPr>
        <w:t xml:space="preserve">This Annual Report covers my first full reporting cycle as Secretary General. It reflects a year in which the RCC carried forward its </w:t>
      </w:r>
      <w:r w:rsidR="009F4DE7" w:rsidRPr="007601D4">
        <w:rPr>
          <w:rFonts w:cs="Times New Roman"/>
        </w:rPr>
        <w:t>mandate but</w:t>
      </w:r>
      <w:r w:rsidRPr="007601D4">
        <w:rPr>
          <w:rFonts w:cs="Times New Roman"/>
        </w:rPr>
        <w:t xml:space="preserve"> also sharpened the way it uses it: less as an agenda of meetings, and more as a platform for implementation. The message of this report is simple. </w:t>
      </w:r>
      <w:proofErr w:type="gramStart"/>
      <w:r w:rsidRPr="007601D4">
        <w:rPr>
          <w:rFonts w:cs="Times New Roman"/>
        </w:rPr>
        <w:t>South East</w:t>
      </w:r>
      <w:proofErr w:type="gramEnd"/>
      <w:r w:rsidRPr="007601D4">
        <w:rPr>
          <w:rFonts w:cs="Times New Roman"/>
        </w:rPr>
        <w:t xml:space="preserve"> Europe does not lack strategies. What it needs, and what the RCC is built to support, is the discipline to turn strategies into systems, commitments into rules, and regional trust into everyday benefits for people and businesses.</w:t>
      </w:r>
    </w:p>
    <w:p w14:paraId="0912E6C3" w14:textId="77777777" w:rsidR="00996149" w:rsidRPr="007601D4" w:rsidRDefault="00996149" w:rsidP="00996149">
      <w:pPr>
        <w:spacing w:line="360" w:lineRule="auto"/>
        <w:rPr>
          <w:rFonts w:cs="Times New Roman"/>
        </w:rPr>
      </w:pPr>
      <w:r w:rsidRPr="007601D4">
        <w:rPr>
          <w:rFonts w:cs="Times New Roman"/>
        </w:rPr>
        <w:t>I want to thank the RCC Secretariat for the professionalism, resilience and sense of public responsibility behind that work. Much of what the RCC does is complex and often invisible: aligning positions, managing political sensitivities, preparing technical solutions, keeping partners at the same table, and following through when the headlines have moved on. This is not coordination for its own sake, but institutional work that makes delivery possible.</w:t>
      </w:r>
    </w:p>
    <w:p w14:paraId="352B6D9E" w14:textId="488E4A25" w:rsidR="00996149" w:rsidRPr="007601D4" w:rsidRDefault="00996149" w:rsidP="00996149">
      <w:pPr>
        <w:spacing w:line="360" w:lineRule="auto"/>
        <w:rPr>
          <w:rFonts w:cs="Times New Roman"/>
        </w:rPr>
      </w:pPr>
      <w:r w:rsidRPr="007601D4">
        <w:rPr>
          <w:rFonts w:cs="Times New Roman"/>
        </w:rPr>
        <w:t xml:space="preserve">My gratitude also goes to the South-East European Cooperation Process </w:t>
      </w:r>
      <w:r w:rsidR="004A1F9F">
        <w:rPr>
          <w:rFonts w:cs="Times New Roman"/>
        </w:rPr>
        <w:t xml:space="preserve">(SEECP) </w:t>
      </w:r>
      <w:r w:rsidRPr="007601D4">
        <w:rPr>
          <w:rFonts w:cs="Times New Roman"/>
        </w:rPr>
        <w:t>Chairmanship</w:t>
      </w:r>
      <w:r w:rsidR="00BF1A4D">
        <w:rPr>
          <w:rFonts w:cs="Times New Roman"/>
        </w:rPr>
        <w:t>-</w:t>
      </w:r>
      <w:r w:rsidRPr="007601D4">
        <w:rPr>
          <w:rFonts w:cs="Times New Roman"/>
        </w:rPr>
        <w:t>in</w:t>
      </w:r>
      <w:r w:rsidR="00BF1A4D">
        <w:rPr>
          <w:rFonts w:cs="Times New Roman"/>
        </w:rPr>
        <w:t>-</w:t>
      </w:r>
      <w:r w:rsidRPr="007601D4">
        <w:rPr>
          <w:rFonts w:cs="Times New Roman"/>
        </w:rPr>
        <w:t xml:space="preserve">Office during this reporting period, and to all participants of the RCC Board. Their political guidance, ownership and support remain essential to the RCC’s ability to act as a credible regional platform. This year also brought important changes to the RCC Board. We welcomed the United Kingdom as a new Board participant, strengthening the RCC’s partnership base at an important moment for the region. </w:t>
      </w:r>
    </w:p>
    <w:p w14:paraId="5E190D04" w14:textId="77777777" w:rsidR="00996149" w:rsidRPr="007601D4" w:rsidRDefault="00996149" w:rsidP="00996149">
      <w:pPr>
        <w:spacing w:line="360" w:lineRule="auto"/>
        <w:rPr>
          <w:rFonts w:cs="Times New Roman"/>
        </w:rPr>
      </w:pPr>
      <w:r w:rsidRPr="007601D4">
        <w:rPr>
          <w:rFonts w:cs="Times New Roman"/>
        </w:rPr>
        <w:t xml:space="preserve">That work has become more important because the environment around us has changed. Economic pressure, labour shortages, climate risks, security concerns, technological disruption and geopolitical fragmentation are no longer separate files. They reinforce one another. In such a context, regions either become more coherent and more capable of acting together, or they become easier to bypass, divide and delay. For </w:t>
      </w:r>
      <w:proofErr w:type="gramStart"/>
      <w:r w:rsidRPr="007601D4">
        <w:rPr>
          <w:rFonts w:cs="Times New Roman"/>
        </w:rPr>
        <w:t>South East</w:t>
      </w:r>
      <w:proofErr w:type="gramEnd"/>
      <w:r w:rsidRPr="007601D4">
        <w:rPr>
          <w:rFonts w:cs="Times New Roman"/>
        </w:rPr>
        <w:t xml:space="preserve"> Europe, this is a strategic choice.</w:t>
      </w:r>
    </w:p>
    <w:p w14:paraId="02154702" w14:textId="77777777" w:rsidR="00996149" w:rsidRPr="007601D4" w:rsidRDefault="00996149" w:rsidP="00996149">
      <w:pPr>
        <w:spacing w:line="360" w:lineRule="auto"/>
        <w:rPr>
          <w:rFonts w:cs="Times New Roman"/>
        </w:rPr>
      </w:pPr>
      <w:r w:rsidRPr="007601D4">
        <w:rPr>
          <w:rFonts w:cs="Times New Roman"/>
        </w:rPr>
        <w:t xml:space="preserve">For the RCC, regional cooperation is therefore not a procedural chapter on the road to the European Union. It is strategic self-interest. It supports credible accession, but it also prepares </w:t>
      </w:r>
      <w:r w:rsidRPr="007601D4">
        <w:rPr>
          <w:rFonts w:cs="Times New Roman"/>
        </w:rPr>
        <w:lastRenderedPageBreak/>
        <w:t>the region to function as part of the EU Single Market in practice: through common standards, reduced barriers, interoperable systems, predictable rules and stronger institutions. The objective is not only to bring the region closer to Europe, but to make the region work better for its own people.</w:t>
      </w:r>
    </w:p>
    <w:p w14:paraId="0551CCC8" w14:textId="77777777" w:rsidR="00996149" w:rsidRPr="007601D4" w:rsidRDefault="00996149" w:rsidP="00996149">
      <w:pPr>
        <w:spacing w:line="360" w:lineRule="auto"/>
        <w:rPr>
          <w:rFonts w:cs="Times New Roman"/>
        </w:rPr>
      </w:pPr>
      <w:r w:rsidRPr="007601D4">
        <w:rPr>
          <w:rFonts w:cs="Times New Roman"/>
        </w:rPr>
        <w:t xml:space="preserve">This is the logic behind the RCC Strategy and Work Programme 2026-2028, the Common Regional Market, the Green Agenda for the Western Balkans, SEE2030 and our work under the South-East European Cooperation Process. They are not separate labels. Together, they form a practical architecture for a more competitive, resilient and connected </w:t>
      </w:r>
      <w:proofErr w:type="gramStart"/>
      <w:r w:rsidRPr="007601D4">
        <w:rPr>
          <w:rFonts w:cs="Times New Roman"/>
        </w:rPr>
        <w:t>South East</w:t>
      </w:r>
      <w:proofErr w:type="gramEnd"/>
      <w:r w:rsidRPr="007601D4">
        <w:rPr>
          <w:rFonts w:cs="Times New Roman"/>
        </w:rPr>
        <w:t xml:space="preserve"> Europe. Through this architecture, the RCC helps translate political agreement into the daily mechanics of integration: mobility, payments, investment, digital trust, green finance, climate adaptation, skills, youth participation and security cooperation.</w:t>
      </w:r>
    </w:p>
    <w:p w14:paraId="2E29B8DA" w14:textId="364B105C" w:rsidR="00996149" w:rsidRPr="007601D4" w:rsidRDefault="00996149" w:rsidP="00996149">
      <w:pPr>
        <w:spacing w:line="360" w:lineRule="auto"/>
        <w:rPr>
          <w:rFonts w:cs="Times New Roman"/>
        </w:rPr>
      </w:pPr>
      <w:r w:rsidRPr="007601D4">
        <w:rPr>
          <w:rFonts w:cs="Times New Roman"/>
        </w:rPr>
        <w:t>During this reporting period, that approach produced concrete results. The Berlin Process cycle under the United Kingdom Chair brought forward a strong package of RCC-facilitated deliverables, from sustainable investment and green finance instruments to financial literacy, tourism branding and social security portability. The Green Agenda moved from general commitment to more structured implementation through the Dubrovnik Declaration and the revised Action Plan. The SEE Regional Network on Disaster Risk Insurance and Risk Sharing began turning climate and disaster resilience into a regional policy and financial agenda. Work on digital interoperability, innovation ecosystems and mobility continued to reduce the practical distance between the region and the EU.</w:t>
      </w:r>
    </w:p>
    <w:p w14:paraId="11A54367" w14:textId="77777777" w:rsidR="00996149" w:rsidRPr="007601D4" w:rsidRDefault="00996149" w:rsidP="00996149">
      <w:pPr>
        <w:spacing w:line="360" w:lineRule="auto"/>
        <w:rPr>
          <w:rFonts w:cs="Times New Roman"/>
        </w:rPr>
      </w:pPr>
      <w:r w:rsidRPr="007601D4">
        <w:rPr>
          <w:rFonts w:cs="Times New Roman"/>
        </w:rPr>
        <w:t xml:space="preserve">These results matter because they speak to something citizens </w:t>
      </w:r>
      <w:proofErr w:type="gramStart"/>
      <w:r w:rsidRPr="007601D4">
        <w:rPr>
          <w:rFonts w:cs="Times New Roman"/>
        </w:rPr>
        <w:t>understand:</w:t>
      </w:r>
      <w:proofErr w:type="gramEnd"/>
      <w:r w:rsidRPr="007601D4">
        <w:rPr>
          <w:rFonts w:cs="Times New Roman"/>
        </w:rPr>
        <w:t xml:space="preserve"> whether cooperation makes life easier, safer and more predictable. Can a student move with fewer barriers? Can a worker keep social rights across the region? Can businesses operate with lower transaction costs and clearer rules? Can communities prepare better for floods, fires and other climate-related disasters? Can young people see a future here that is connected to Europe, not waiting outside it? These are the questions by which regional cooperation will increasingly be judged.</w:t>
      </w:r>
    </w:p>
    <w:p w14:paraId="7D375614" w14:textId="77777777" w:rsidR="00996149" w:rsidRPr="007601D4" w:rsidRDefault="00996149" w:rsidP="00996149">
      <w:pPr>
        <w:spacing w:line="360" w:lineRule="auto"/>
        <w:rPr>
          <w:rFonts w:cs="Times New Roman"/>
        </w:rPr>
      </w:pPr>
      <w:r w:rsidRPr="007601D4">
        <w:rPr>
          <w:rFonts w:cs="Times New Roman"/>
        </w:rPr>
        <w:t>Efficiency, for us, is not speed at any cost. It is credibility, continuity and implementation that lasts. It means choosing priorities carefully, avoiding duplication, using partnerships intelligently and being honest about what regional cooperation can deliver.</w:t>
      </w:r>
    </w:p>
    <w:p w14:paraId="4EEE32A4" w14:textId="77777777" w:rsidR="00996149" w:rsidRPr="007601D4" w:rsidRDefault="00996149" w:rsidP="00996149">
      <w:pPr>
        <w:spacing w:line="360" w:lineRule="auto"/>
        <w:rPr>
          <w:rFonts w:cs="Times New Roman"/>
        </w:rPr>
      </w:pPr>
      <w:r w:rsidRPr="007601D4">
        <w:rPr>
          <w:rFonts w:cs="Times New Roman"/>
        </w:rPr>
        <w:lastRenderedPageBreak/>
        <w:t>The year ahead will require exactly that discipline. We will focus on a limited number of priorities where the RCC can bring clear added value: advancing the Common Regional Market and gradual integration with the EU Single Market; supporting the Green Agenda and climate resilience; operationalising SEE2030 as a framework for inclusive and sustainable growth; strengthening security cooperation and evidence-based policy; and keeping youth, skills and human capital at the centre of the region’s future.</w:t>
      </w:r>
    </w:p>
    <w:p w14:paraId="23199911" w14:textId="77777777" w:rsidR="00996149" w:rsidRPr="007601D4" w:rsidRDefault="00996149" w:rsidP="00996149">
      <w:pPr>
        <w:spacing w:line="360" w:lineRule="auto"/>
        <w:rPr>
          <w:rFonts w:cs="Times New Roman"/>
        </w:rPr>
      </w:pPr>
      <w:r w:rsidRPr="007601D4">
        <w:rPr>
          <w:rFonts w:cs="Times New Roman"/>
        </w:rPr>
        <w:t>Above all, we will continue to use the RCC’s convening power responsibly. In fragmented times, keeping dialogue open is not a soft task. It is hard infrastructure. It allows economies, institutions and partners to keep working together even when politics becomes difficult. It protects trust. It creates predictability. And it reminds us that cooperation is not measured only by declarations signed, but by problems solved.</w:t>
      </w:r>
    </w:p>
    <w:p w14:paraId="2811F2B3" w14:textId="77777777" w:rsidR="00996149" w:rsidRPr="007601D4" w:rsidRDefault="00996149" w:rsidP="00996149">
      <w:pPr>
        <w:spacing w:line="360" w:lineRule="auto"/>
      </w:pPr>
      <w:r w:rsidRPr="007601D4">
        <w:rPr>
          <w:rFonts w:cs="Times New Roman"/>
        </w:rPr>
        <w:t xml:space="preserve">This Annual Report is therefore both a record and a direction of travel. It shows a region capable of delivering when priorities are clear, partners are aligned and ownership is shared. It also shows the work still ahead. The RCC will approach that work with realism, focus and confidence: anchored in </w:t>
      </w:r>
      <w:proofErr w:type="gramStart"/>
      <w:r w:rsidRPr="007601D4">
        <w:rPr>
          <w:rFonts w:cs="Times New Roman"/>
        </w:rPr>
        <w:t>South East</w:t>
      </w:r>
      <w:proofErr w:type="gramEnd"/>
      <w:r w:rsidRPr="007601D4">
        <w:rPr>
          <w:rFonts w:cs="Times New Roman"/>
        </w:rPr>
        <w:t xml:space="preserve"> Europe, connected to the European project, and committed to making cooperation visible in the lives of the people it is meant to serve.</w:t>
      </w:r>
    </w:p>
    <w:p w14:paraId="772B0100" w14:textId="77777777" w:rsidR="00B67722" w:rsidRPr="007601D4" w:rsidRDefault="00B67722" w:rsidP="00996149">
      <w:pPr>
        <w:spacing w:line="360" w:lineRule="auto"/>
        <w:rPr>
          <w:rFonts w:cs="Times New Roman"/>
        </w:rPr>
      </w:pPr>
    </w:p>
    <w:p w14:paraId="47D25E67" w14:textId="77777777" w:rsidR="00B67722" w:rsidRPr="007601D4" w:rsidRDefault="00B67722" w:rsidP="00996149">
      <w:pPr>
        <w:spacing w:line="360" w:lineRule="auto"/>
        <w:rPr>
          <w:rFonts w:cs="Times New Roman"/>
        </w:rPr>
      </w:pPr>
    </w:p>
    <w:p w14:paraId="52A4A23C" w14:textId="48ACF30F" w:rsidR="00AF7BE6" w:rsidRPr="007601D4" w:rsidRDefault="00AF7BE6" w:rsidP="00996149">
      <w:pPr>
        <w:spacing w:line="360" w:lineRule="auto"/>
      </w:pPr>
    </w:p>
    <w:p w14:paraId="2DF55D98" w14:textId="702BAEBB" w:rsidR="00AF7BE6" w:rsidRPr="007601D4" w:rsidRDefault="00AF7BE6" w:rsidP="00996149">
      <w:pPr>
        <w:spacing w:line="360" w:lineRule="auto"/>
      </w:pPr>
    </w:p>
    <w:p w14:paraId="56DB291A" w14:textId="1E754CC6" w:rsidR="00AF7BE6" w:rsidRPr="007601D4" w:rsidRDefault="00AF7BE6" w:rsidP="00996149">
      <w:pPr>
        <w:spacing w:line="360" w:lineRule="auto"/>
      </w:pPr>
    </w:p>
    <w:p w14:paraId="150EF94F" w14:textId="0A470AA0" w:rsidR="00AF7BE6" w:rsidRPr="007601D4" w:rsidRDefault="00AF7BE6" w:rsidP="00996149">
      <w:pPr>
        <w:spacing w:line="360" w:lineRule="auto"/>
      </w:pPr>
    </w:p>
    <w:p w14:paraId="626F5EBC" w14:textId="03C15053" w:rsidR="00AF7BE6" w:rsidRPr="007601D4" w:rsidRDefault="00AF7BE6" w:rsidP="00996149">
      <w:pPr>
        <w:spacing w:line="360" w:lineRule="auto"/>
      </w:pPr>
    </w:p>
    <w:p w14:paraId="2A33440A" w14:textId="47656C64" w:rsidR="00AF7BE6" w:rsidRPr="007601D4" w:rsidRDefault="00AF7BE6" w:rsidP="00996149">
      <w:pPr>
        <w:spacing w:line="360" w:lineRule="auto"/>
      </w:pPr>
    </w:p>
    <w:p w14:paraId="18FC0BCD" w14:textId="3ECB6DC2" w:rsidR="00AF7BE6" w:rsidRPr="007601D4" w:rsidRDefault="00AF7BE6" w:rsidP="00996149">
      <w:pPr>
        <w:spacing w:line="360" w:lineRule="auto"/>
      </w:pPr>
    </w:p>
    <w:p w14:paraId="1D3E8325" w14:textId="01042B49" w:rsidR="00AF7BE6" w:rsidRPr="007601D4" w:rsidRDefault="00AF7BE6" w:rsidP="00996149">
      <w:pPr>
        <w:spacing w:line="360" w:lineRule="auto"/>
      </w:pPr>
    </w:p>
    <w:p w14:paraId="4F51919B" w14:textId="2A1F2D08" w:rsidR="00735129" w:rsidRPr="007601D4" w:rsidRDefault="0041585F" w:rsidP="004740BF">
      <w:pPr>
        <w:pStyle w:val="Heading1"/>
        <w:numPr>
          <w:ilvl w:val="0"/>
          <w:numId w:val="0"/>
        </w:numPr>
        <w:spacing w:line="360" w:lineRule="auto"/>
      </w:pPr>
      <w:bookmarkStart w:id="6" w:name="_Toc228451773"/>
      <w:r w:rsidRPr="007601D4">
        <w:lastRenderedPageBreak/>
        <w:t xml:space="preserve">Executive </w:t>
      </w:r>
      <w:r w:rsidR="005428CF" w:rsidRPr="007601D4">
        <w:t>Summary</w:t>
      </w:r>
      <w:bookmarkEnd w:id="6"/>
      <w:r w:rsidR="00735129" w:rsidRPr="007601D4">
        <w:t xml:space="preserve"> </w:t>
      </w:r>
    </w:p>
    <w:p w14:paraId="743498CE" w14:textId="21F4FF61" w:rsidR="00BC03C2" w:rsidRDefault="0035635C" w:rsidP="004C1EF6">
      <w:pPr>
        <w:spacing w:line="360" w:lineRule="auto"/>
        <w:rPr>
          <w:szCs w:val="24"/>
        </w:rPr>
      </w:pPr>
      <w:r w:rsidRPr="0084081C">
        <w:rPr>
          <w:szCs w:val="24"/>
        </w:rPr>
        <w:t>In a shifting geopolitical context</w:t>
      </w:r>
      <w:r w:rsidRPr="007601D4">
        <w:rPr>
          <w:szCs w:val="24"/>
        </w:rPr>
        <w:t xml:space="preserve">, the </w:t>
      </w:r>
      <w:r w:rsidR="00E449FA">
        <w:rPr>
          <w:szCs w:val="24"/>
        </w:rPr>
        <w:t>Regional Cooperation Council (</w:t>
      </w:r>
      <w:r w:rsidRPr="007601D4">
        <w:rPr>
          <w:szCs w:val="24"/>
        </w:rPr>
        <w:t>RCC</w:t>
      </w:r>
      <w:r w:rsidR="00E449FA">
        <w:rPr>
          <w:szCs w:val="24"/>
        </w:rPr>
        <w:t>)</w:t>
      </w:r>
      <w:r w:rsidRPr="007601D4">
        <w:rPr>
          <w:szCs w:val="24"/>
        </w:rPr>
        <w:t xml:space="preserve"> m</w:t>
      </w:r>
      <w:r w:rsidR="001E6BE4" w:rsidRPr="007601D4">
        <w:rPr>
          <w:szCs w:val="24"/>
        </w:rPr>
        <w:t xml:space="preserve">ade </w:t>
      </w:r>
      <w:r w:rsidR="00CF578B" w:rsidRPr="007601D4">
        <w:rPr>
          <w:szCs w:val="24"/>
        </w:rPr>
        <w:t xml:space="preserve">substantial </w:t>
      </w:r>
      <w:r w:rsidR="001E6BE4" w:rsidRPr="007601D4">
        <w:rPr>
          <w:szCs w:val="24"/>
        </w:rPr>
        <w:t>progress</w:t>
      </w:r>
      <w:r w:rsidRPr="007601D4">
        <w:rPr>
          <w:szCs w:val="24"/>
        </w:rPr>
        <w:t xml:space="preserve"> </w:t>
      </w:r>
      <w:r w:rsidR="001E6BE4" w:rsidRPr="007601D4">
        <w:rPr>
          <w:szCs w:val="24"/>
        </w:rPr>
        <w:t xml:space="preserve">across key regional agendas, with </w:t>
      </w:r>
      <w:r w:rsidR="00CF578B" w:rsidRPr="007601D4">
        <w:rPr>
          <w:szCs w:val="24"/>
        </w:rPr>
        <w:t xml:space="preserve">clear shift </w:t>
      </w:r>
      <w:r w:rsidR="00363540" w:rsidRPr="007601D4">
        <w:rPr>
          <w:szCs w:val="24"/>
        </w:rPr>
        <w:t>from framework-</w:t>
      </w:r>
      <w:r w:rsidR="00BC03C2" w:rsidRPr="007601D4">
        <w:rPr>
          <w:szCs w:val="24"/>
        </w:rPr>
        <w:t>setting to</w:t>
      </w:r>
      <w:r w:rsidR="00363540" w:rsidRPr="007601D4">
        <w:rPr>
          <w:szCs w:val="24"/>
        </w:rPr>
        <w:t xml:space="preserve"> result-oriented implementation. Efforts </w:t>
      </w:r>
      <w:r w:rsidR="00BC03C2" w:rsidRPr="007601D4">
        <w:rPr>
          <w:szCs w:val="24"/>
        </w:rPr>
        <w:t>focused on</w:t>
      </w:r>
      <w:r w:rsidR="001E6BE4" w:rsidRPr="007601D4">
        <w:rPr>
          <w:szCs w:val="24"/>
        </w:rPr>
        <w:t xml:space="preserve"> </w:t>
      </w:r>
      <w:r w:rsidR="001E6BE4" w:rsidRPr="007601D4">
        <w:rPr>
          <w:b/>
          <w:bCs/>
          <w:szCs w:val="24"/>
        </w:rPr>
        <w:t>advancing CRM implementation</w:t>
      </w:r>
      <w:r w:rsidR="001E6BE4" w:rsidRPr="007601D4">
        <w:rPr>
          <w:szCs w:val="24"/>
        </w:rPr>
        <w:t xml:space="preserve">, </w:t>
      </w:r>
      <w:r w:rsidR="001E6BE4" w:rsidRPr="007601D4">
        <w:rPr>
          <w:b/>
          <w:bCs/>
          <w:szCs w:val="24"/>
        </w:rPr>
        <w:t xml:space="preserve">strengthening Green Agenda delivery, and operationalising SEE 2030 priorities, </w:t>
      </w:r>
      <w:r w:rsidR="001E6BE4" w:rsidRPr="007601D4">
        <w:rPr>
          <w:szCs w:val="24"/>
        </w:rPr>
        <w:t>while reinforcing cooperation in digitalisation, human capital development, youth engagement and regional security</w:t>
      </w:r>
      <w:r w:rsidR="008E7510" w:rsidRPr="007601D4">
        <w:rPr>
          <w:szCs w:val="24"/>
        </w:rPr>
        <w:t xml:space="preserve"> </w:t>
      </w:r>
      <w:r w:rsidRPr="007601D4">
        <w:rPr>
          <w:szCs w:val="24"/>
        </w:rPr>
        <w:t xml:space="preserve">with a stronger focus on delivery, institutional anchoring, and measurable results. </w:t>
      </w:r>
      <w:r w:rsidR="001B2880">
        <w:rPr>
          <w:szCs w:val="24"/>
        </w:rPr>
        <w:t>including</w:t>
      </w:r>
      <w:r w:rsidR="00BC03C2" w:rsidRPr="007601D4">
        <w:rPr>
          <w:szCs w:val="24"/>
        </w:rPr>
        <w:t xml:space="preserve"> alignment with EU initiatives, </w:t>
      </w:r>
      <w:r w:rsidR="001B2880">
        <w:rPr>
          <w:szCs w:val="24"/>
        </w:rPr>
        <w:t>such as</w:t>
      </w:r>
      <w:r w:rsidR="00BC03C2" w:rsidRPr="007601D4">
        <w:rPr>
          <w:szCs w:val="24"/>
        </w:rPr>
        <w:t xml:space="preserve"> the EU Growth Plan for the Western Balkans and enhanced coordination with EU and regional partners.</w:t>
      </w:r>
    </w:p>
    <w:p w14:paraId="777A5141" w14:textId="12B5AC5A" w:rsidR="00F36085" w:rsidRPr="007601D4" w:rsidRDefault="006F4866" w:rsidP="004C1EF6">
      <w:pPr>
        <w:spacing w:line="360" w:lineRule="auto"/>
        <w:rPr>
          <w:szCs w:val="24"/>
        </w:rPr>
      </w:pPr>
      <w:r w:rsidRPr="007601D4">
        <w:rPr>
          <w:szCs w:val="24"/>
        </w:rPr>
        <w:t xml:space="preserve">The </w:t>
      </w:r>
      <w:hyperlink r:id="rId11" w:history="1">
        <w:r w:rsidRPr="007601D4">
          <w:rPr>
            <w:rStyle w:val="Hyperlink"/>
            <w:b/>
            <w:bCs/>
            <w:szCs w:val="24"/>
          </w:rPr>
          <w:t>SEE2030 Strategy</w:t>
        </w:r>
      </w:hyperlink>
      <w:r w:rsidRPr="007601D4">
        <w:rPr>
          <w:szCs w:val="24"/>
        </w:rPr>
        <w:t xml:space="preserve"> </w:t>
      </w:r>
      <w:r w:rsidR="004B5894" w:rsidRPr="007601D4">
        <w:rPr>
          <w:szCs w:val="24"/>
        </w:rPr>
        <w:t xml:space="preserve">advanced through </w:t>
      </w:r>
      <w:r w:rsidR="005F70E4" w:rsidRPr="007601D4">
        <w:rPr>
          <w:szCs w:val="24"/>
        </w:rPr>
        <w:t>a</w:t>
      </w:r>
      <w:r w:rsidR="004B5894" w:rsidRPr="007601D4">
        <w:rPr>
          <w:szCs w:val="24"/>
        </w:rPr>
        <w:t xml:space="preserve"> high-level political endorsement, </w:t>
      </w:r>
      <w:r w:rsidR="005F70E4" w:rsidRPr="007601D4">
        <w:rPr>
          <w:szCs w:val="24"/>
        </w:rPr>
        <w:t xml:space="preserve">and </w:t>
      </w:r>
      <w:r w:rsidR="004B5894" w:rsidRPr="007601D4">
        <w:rPr>
          <w:szCs w:val="24"/>
        </w:rPr>
        <w:t xml:space="preserve">strengthened evidence-based policymaking, positioning RCC as a key driver of inclusive growth and EU </w:t>
      </w:r>
      <w:r w:rsidR="003678BA" w:rsidRPr="007601D4">
        <w:rPr>
          <w:szCs w:val="24"/>
        </w:rPr>
        <w:t>convergence</w:t>
      </w:r>
      <w:r w:rsidR="004B5894" w:rsidRPr="007601D4">
        <w:rPr>
          <w:szCs w:val="24"/>
        </w:rPr>
        <w:t>.</w:t>
      </w:r>
      <w:r w:rsidR="007A1B6B" w:rsidRPr="007601D4">
        <w:rPr>
          <w:szCs w:val="24"/>
        </w:rPr>
        <w:t xml:space="preserve"> </w:t>
      </w:r>
      <w:r w:rsidR="00D66336" w:rsidRPr="007601D4">
        <w:rPr>
          <w:szCs w:val="24"/>
        </w:rPr>
        <w:t xml:space="preserve">Key </w:t>
      </w:r>
      <w:r w:rsidR="007A1B6B" w:rsidRPr="007601D4">
        <w:rPr>
          <w:szCs w:val="24"/>
        </w:rPr>
        <w:t xml:space="preserve">results included the endorsement of the </w:t>
      </w:r>
      <w:r w:rsidR="007A1B6B" w:rsidRPr="007601D4">
        <w:rPr>
          <w:b/>
          <w:bCs/>
          <w:szCs w:val="24"/>
        </w:rPr>
        <w:t>SEE2030</w:t>
      </w:r>
      <w:r w:rsidR="007A1B6B" w:rsidRPr="007601D4">
        <w:rPr>
          <w:b/>
          <w:szCs w:val="24"/>
        </w:rPr>
        <w:t xml:space="preserve"> Mid-term Update</w:t>
      </w:r>
      <w:r w:rsidR="007A1B6B" w:rsidRPr="007601D4">
        <w:rPr>
          <w:szCs w:val="24"/>
        </w:rPr>
        <w:t xml:space="preserve"> and </w:t>
      </w:r>
      <w:r w:rsidR="007A1B6B" w:rsidRPr="007601D4">
        <w:rPr>
          <w:b/>
          <w:bCs/>
          <w:szCs w:val="24"/>
        </w:rPr>
        <w:t>Mid</w:t>
      </w:r>
      <w:r w:rsidR="007A1B6B" w:rsidRPr="007601D4">
        <w:rPr>
          <w:b/>
          <w:szCs w:val="24"/>
        </w:rPr>
        <w:t>-term Implementation</w:t>
      </w:r>
      <w:r w:rsidR="007A1B6B" w:rsidRPr="007601D4">
        <w:rPr>
          <w:szCs w:val="24"/>
        </w:rPr>
        <w:t xml:space="preserve"> </w:t>
      </w:r>
      <w:r w:rsidR="007A1B6B" w:rsidRPr="007601D4">
        <w:rPr>
          <w:b/>
          <w:szCs w:val="24"/>
        </w:rPr>
        <w:t>Report,</w:t>
      </w:r>
      <w:r w:rsidR="007A1B6B" w:rsidRPr="007601D4">
        <w:rPr>
          <w:szCs w:val="24"/>
        </w:rPr>
        <w:t xml:space="preserve"> the completion of the </w:t>
      </w:r>
      <w:r w:rsidR="007A1B6B" w:rsidRPr="007601D4">
        <w:rPr>
          <w:b/>
          <w:szCs w:val="24"/>
        </w:rPr>
        <w:t>SEE Inclusive Growth Index (IGI)</w:t>
      </w:r>
      <w:r w:rsidR="007A1B6B" w:rsidRPr="007601D4">
        <w:rPr>
          <w:szCs w:val="24"/>
        </w:rPr>
        <w:t xml:space="preserve">, </w:t>
      </w:r>
      <w:r w:rsidR="00F36085" w:rsidRPr="007601D4">
        <w:rPr>
          <w:szCs w:val="24"/>
        </w:rPr>
        <w:t xml:space="preserve">a new benchmarking tool for inclusive growth, the operationalisation of the Beyond GDP agenda, and the </w:t>
      </w:r>
      <w:r w:rsidR="003637F8" w:rsidRPr="007601D4">
        <w:rPr>
          <w:szCs w:val="24"/>
        </w:rPr>
        <w:t xml:space="preserve">shift to operational delivery </w:t>
      </w:r>
      <w:r w:rsidR="00F36AE1" w:rsidRPr="007601D4">
        <w:rPr>
          <w:szCs w:val="24"/>
        </w:rPr>
        <w:t xml:space="preserve"> </w:t>
      </w:r>
      <w:r w:rsidR="00F36085" w:rsidRPr="007601D4">
        <w:rPr>
          <w:szCs w:val="24"/>
        </w:rPr>
        <w:t xml:space="preserve">of the </w:t>
      </w:r>
      <w:hyperlink r:id="rId12" w:history="1">
        <w:r w:rsidR="00F36085" w:rsidRPr="007601D4">
          <w:rPr>
            <w:rStyle w:val="Hyperlink"/>
            <w:b/>
            <w:bCs/>
            <w:szCs w:val="24"/>
          </w:rPr>
          <w:t>SEE Regional Network on Disaster Risk Insurance and Risk Sharing</w:t>
        </w:r>
      </w:hyperlink>
      <w:r w:rsidR="00F36085" w:rsidRPr="007601D4">
        <w:rPr>
          <w:szCs w:val="24"/>
        </w:rPr>
        <w:t xml:space="preserve">, which launched feasibility workstreams and EU-aligned regional risk solutions with international </w:t>
      </w:r>
      <w:r w:rsidR="002D4EE1" w:rsidRPr="007601D4">
        <w:rPr>
          <w:szCs w:val="24"/>
        </w:rPr>
        <w:t>financial institutions</w:t>
      </w:r>
      <w:r w:rsidR="00F36085" w:rsidRPr="007601D4">
        <w:rPr>
          <w:szCs w:val="24"/>
        </w:rPr>
        <w:t>.</w:t>
      </w:r>
    </w:p>
    <w:p w14:paraId="3FDE7E2D" w14:textId="04260886" w:rsidR="00FE3802" w:rsidRPr="007601D4" w:rsidRDefault="001D3E54" w:rsidP="004C1EF6">
      <w:pPr>
        <w:spacing w:line="360" w:lineRule="auto"/>
      </w:pPr>
      <w:r w:rsidRPr="007601D4">
        <w:t xml:space="preserve">In </w:t>
      </w:r>
      <w:r w:rsidRPr="007601D4">
        <w:rPr>
          <w:b/>
          <w:bCs/>
        </w:rPr>
        <w:t>competitiveness and sustainable finance</w:t>
      </w:r>
      <w:r w:rsidRPr="007601D4">
        <w:t xml:space="preserve">, </w:t>
      </w:r>
      <w:r w:rsidR="00762037" w:rsidRPr="007601D4">
        <w:t xml:space="preserve">RCC delivered substantial progress </w:t>
      </w:r>
      <w:r w:rsidR="00B45CC2" w:rsidRPr="007601D4">
        <w:t xml:space="preserve">in </w:t>
      </w:r>
      <w:r w:rsidR="00302349" w:rsidRPr="007601D4">
        <w:t xml:space="preserve">regional </w:t>
      </w:r>
      <w:r w:rsidR="00D95DDC" w:rsidRPr="007601D4">
        <w:t xml:space="preserve">investment and financial </w:t>
      </w:r>
      <w:r w:rsidR="003542C8" w:rsidRPr="007601D4">
        <w:t>framework under</w:t>
      </w:r>
      <w:r w:rsidR="00ED715C" w:rsidRPr="007601D4">
        <w:t xml:space="preserve"> </w:t>
      </w:r>
      <w:r w:rsidR="00302349" w:rsidRPr="007601D4">
        <w:t>CRM 2</w:t>
      </w:r>
      <w:r w:rsidR="00ED715C" w:rsidRPr="007601D4">
        <w:t>. Key achievements include endorsement</w:t>
      </w:r>
      <w:r w:rsidR="00FF360B" w:rsidRPr="007601D4">
        <w:t>,</w:t>
      </w:r>
      <w:r w:rsidR="00ED715C" w:rsidRPr="007601D4">
        <w:t xml:space="preserve"> </w:t>
      </w:r>
      <w:r w:rsidR="003542C8" w:rsidRPr="007601D4">
        <w:t>under the Berlin Process</w:t>
      </w:r>
      <w:r w:rsidR="00FF360B" w:rsidRPr="007601D4">
        <w:t xml:space="preserve">, </w:t>
      </w:r>
      <w:r w:rsidR="003542C8" w:rsidRPr="007601D4">
        <w:t xml:space="preserve">of </w:t>
      </w:r>
      <w:r w:rsidR="00762037" w:rsidRPr="007601D4">
        <w:t>the</w:t>
      </w:r>
      <w:r w:rsidR="00572D4D" w:rsidRPr="007601D4">
        <w:t xml:space="preserve"> </w:t>
      </w:r>
      <w:hyperlink r:id="rId13">
        <w:r w:rsidR="00572D4D" w:rsidRPr="007601D4">
          <w:rPr>
            <w:rStyle w:val="Hyperlink"/>
            <w:b/>
            <w:bCs/>
          </w:rPr>
          <w:t>Recommendation on Sustainable Foreign Direct Investment in the Western Balkans Six</w:t>
        </w:r>
      </w:hyperlink>
      <w:r w:rsidR="004843B6" w:rsidRPr="007601D4">
        <w:t xml:space="preserve"> and </w:t>
      </w:r>
      <w:hyperlink r:id="rId14">
        <w:r w:rsidR="00B2582E" w:rsidRPr="007601D4">
          <w:rPr>
            <w:rStyle w:val="Hyperlink"/>
            <w:b/>
            <w:bCs/>
          </w:rPr>
          <w:t>Regional Model Clauses on Sustainability</w:t>
        </w:r>
      </w:hyperlink>
      <w:r w:rsidR="00762037" w:rsidRPr="007601D4">
        <w:t xml:space="preserve"> alongside </w:t>
      </w:r>
      <w:hyperlink r:id="rId15">
        <w:r w:rsidR="004843B6" w:rsidRPr="007601D4">
          <w:rPr>
            <w:rStyle w:val="Hyperlink"/>
            <w:b/>
            <w:bCs/>
          </w:rPr>
          <w:t>Joint Principles for Investment Facilitation in the Western Balkans Six</w:t>
        </w:r>
      </w:hyperlink>
      <w:r w:rsidR="004843B6" w:rsidRPr="007601D4">
        <w:rPr>
          <w:b/>
          <w:bCs/>
        </w:rPr>
        <w:t>,</w:t>
      </w:r>
      <w:r w:rsidR="00762037" w:rsidRPr="007601D4">
        <w:t xml:space="preserve"> </w:t>
      </w:r>
      <w:r w:rsidR="00666777" w:rsidRPr="007601D4">
        <w:t xml:space="preserve">supported by implementation tools such as </w:t>
      </w:r>
      <w:r w:rsidR="00762037" w:rsidRPr="007601D4">
        <w:t xml:space="preserve">a </w:t>
      </w:r>
      <w:hyperlink r:id="rId16">
        <w:r w:rsidR="000F104C" w:rsidRPr="007601D4">
          <w:rPr>
            <w:rStyle w:val="Hyperlink"/>
            <w:b/>
            <w:bCs/>
          </w:rPr>
          <w:t>Sustainable Foreign Direct Investment Policy Toolkit for the Western Balkans Six</w:t>
        </w:r>
      </w:hyperlink>
      <w:r w:rsidR="00D74D10" w:rsidRPr="007601D4">
        <w:t xml:space="preserve"> </w:t>
      </w:r>
      <w:r w:rsidR="000F104C" w:rsidRPr="007601D4">
        <w:t>a</w:t>
      </w:r>
      <w:r w:rsidR="00762037" w:rsidRPr="007601D4">
        <w:t xml:space="preserve">nd </w:t>
      </w:r>
      <w:r w:rsidR="00762037" w:rsidRPr="007601D4">
        <w:rPr>
          <w:b/>
          <w:bCs/>
        </w:rPr>
        <w:t>WB6 Investment Facilitation Roadmap and Regional Green Investment Standards</w:t>
      </w:r>
      <w:r w:rsidR="00762037" w:rsidRPr="007601D4">
        <w:t>.</w:t>
      </w:r>
      <w:r w:rsidR="003E40EB" w:rsidRPr="007601D4">
        <w:t xml:space="preserve"> </w:t>
      </w:r>
      <w:r w:rsidR="004718DE" w:rsidRPr="007601D4">
        <w:t>S</w:t>
      </w:r>
      <w:r w:rsidR="00762037" w:rsidRPr="007601D4">
        <w:t xml:space="preserve">ustainable finance </w:t>
      </w:r>
      <w:r w:rsidR="007C642C" w:rsidRPr="007601D4">
        <w:t xml:space="preserve">further </w:t>
      </w:r>
      <w:r w:rsidR="004718DE" w:rsidRPr="007601D4">
        <w:t xml:space="preserve">progressed </w:t>
      </w:r>
      <w:r w:rsidR="00762037" w:rsidRPr="007601D4">
        <w:t xml:space="preserve">through the  </w:t>
      </w:r>
      <w:hyperlink r:id="rId17">
        <w:r w:rsidR="00D87990" w:rsidRPr="007601D4">
          <w:rPr>
            <w:rStyle w:val="Hyperlink"/>
            <w:b/>
            <w:bCs/>
          </w:rPr>
          <w:t>Whitelist of the Sustainable Finance Taxonomy for the Western Balkans</w:t>
        </w:r>
        <w:r w:rsidR="00204339" w:rsidRPr="007601D4">
          <w:rPr>
            <w:rStyle w:val="Hyperlink"/>
            <w:b/>
            <w:bCs/>
          </w:rPr>
          <w:t xml:space="preserve"> </w:t>
        </w:r>
        <w:r w:rsidR="00D87990" w:rsidRPr="007601D4">
          <w:rPr>
            <w:rStyle w:val="Hyperlink"/>
            <w:b/>
            <w:bCs/>
          </w:rPr>
          <w:t>Six</w:t>
        </w:r>
      </w:hyperlink>
      <w:r w:rsidR="00204339" w:rsidRPr="007601D4">
        <w:rPr>
          <w:b/>
          <w:bCs/>
        </w:rPr>
        <w:t>,</w:t>
      </w:r>
      <w:r w:rsidR="00D87990" w:rsidRPr="007601D4">
        <w:rPr>
          <w:b/>
          <w:bCs/>
        </w:rPr>
        <w:t xml:space="preserve"> </w:t>
      </w:r>
      <w:r w:rsidR="00762037" w:rsidRPr="007601D4">
        <w:rPr>
          <w:b/>
          <w:bCs/>
        </w:rPr>
        <w:t xml:space="preserve"> </w:t>
      </w:r>
      <w:hyperlink r:id="rId18">
        <w:r w:rsidR="00C04B51" w:rsidRPr="007601D4">
          <w:rPr>
            <w:rStyle w:val="Hyperlink"/>
            <w:b/>
            <w:bCs/>
          </w:rPr>
          <w:t xml:space="preserve">WB </w:t>
        </w:r>
        <w:r w:rsidR="00AF316A" w:rsidRPr="007601D4">
          <w:rPr>
            <w:rStyle w:val="Hyperlink"/>
            <w:b/>
            <w:bCs/>
          </w:rPr>
          <w:t>Green Bond Standard</w:t>
        </w:r>
      </w:hyperlink>
      <w:r w:rsidR="00762037" w:rsidRPr="007601D4">
        <w:t xml:space="preserve">, and  </w:t>
      </w:r>
      <w:hyperlink r:id="rId19">
        <w:r w:rsidR="00972CEC" w:rsidRPr="007601D4">
          <w:rPr>
            <w:rStyle w:val="Hyperlink"/>
            <w:b/>
            <w:bCs/>
          </w:rPr>
          <w:t>Regional Financial Literacy Framework for Individuals</w:t>
        </w:r>
      </w:hyperlink>
      <w:r w:rsidR="00762037" w:rsidRPr="007601D4">
        <w:rPr>
          <w:b/>
          <w:bCs/>
        </w:rPr>
        <w:t>,</w:t>
      </w:r>
      <w:r w:rsidR="00762037" w:rsidRPr="007601D4">
        <w:t xml:space="preserve"> </w:t>
      </w:r>
      <w:r w:rsidR="00FD488B" w:rsidRPr="007601D4">
        <w:t>mobilising</w:t>
      </w:r>
      <w:r w:rsidR="00057B69" w:rsidRPr="007601D4">
        <w:t xml:space="preserve"> finance for the green transition and advancing sustainability in the region</w:t>
      </w:r>
      <w:r w:rsidR="00762037" w:rsidRPr="007601D4">
        <w:t xml:space="preserve">. </w:t>
      </w:r>
      <w:r w:rsidR="000F5431" w:rsidRPr="007601D4">
        <w:t xml:space="preserve">Regional </w:t>
      </w:r>
      <w:r w:rsidR="00607253" w:rsidRPr="007601D4">
        <w:t xml:space="preserve">financial integration also marked </w:t>
      </w:r>
      <w:r w:rsidR="003B03B7" w:rsidRPr="007601D4">
        <w:t xml:space="preserve">major </w:t>
      </w:r>
      <w:r w:rsidR="00607253" w:rsidRPr="007601D4">
        <w:t>milestone</w:t>
      </w:r>
      <w:r w:rsidR="003B03B7" w:rsidRPr="007601D4">
        <w:t>s</w:t>
      </w:r>
      <w:r w:rsidR="00607253" w:rsidRPr="007601D4">
        <w:t xml:space="preserve">, </w:t>
      </w:r>
      <w:r w:rsidR="00C812A4" w:rsidRPr="007601D4">
        <w:t xml:space="preserve">with </w:t>
      </w:r>
      <w:r w:rsidR="003B03B7" w:rsidRPr="007601D4">
        <w:t>four</w:t>
      </w:r>
      <w:r w:rsidR="00106EA1">
        <w:t xml:space="preserve"> </w:t>
      </w:r>
      <w:r w:rsidR="00607253" w:rsidRPr="007601D4">
        <w:t xml:space="preserve">Western Balkans </w:t>
      </w:r>
      <w:r w:rsidR="009B5E40" w:rsidRPr="007601D4">
        <w:t>Six (WB</w:t>
      </w:r>
      <w:r w:rsidR="00AB6ECD" w:rsidRPr="007601D4">
        <w:t>6) becoming</w:t>
      </w:r>
      <w:r w:rsidR="00E546C9" w:rsidRPr="007601D4">
        <w:t xml:space="preserve"> operational </w:t>
      </w:r>
      <w:r w:rsidR="00AB6ECD" w:rsidRPr="007601D4">
        <w:t xml:space="preserve">in </w:t>
      </w:r>
      <w:r w:rsidR="00AB6ECD" w:rsidRPr="007601D4">
        <w:rPr>
          <w:b/>
          <w:bCs/>
        </w:rPr>
        <w:t>Single</w:t>
      </w:r>
      <w:r w:rsidR="004718DE" w:rsidRPr="007601D4">
        <w:rPr>
          <w:b/>
          <w:bCs/>
        </w:rPr>
        <w:t xml:space="preserve"> Euro Payments Area (SEPA</w:t>
      </w:r>
      <w:r w:rsidR="00D41AAF" w:rsidRPr="007601D4">
        <w:rPr>
          <w:b/>
          <w:bCs/>
        </w:rPr>
        <w:t>)</w:t>
      </w:r>
      <w:r w:rsidR="004718DE" w:rsidRPr="007601D4">
        <w:t xml:space="preserve"> </w:t>
      </w:r>
      <w:r w:rsidR="00E546C9" w:rsidRPr="007601D4">
        <w:t xml:space="preserve">enabling </w:t>
      </w:r>
      <w:r w:rsidR="00AB6ECD" w:rsidRPr="007601D4">
        <w:t>faster, more</w:t>
      </w:r>
      <w:r w:rsidR="00875124" w:rsidRPr="007601D4">
        <w:t xml:space="preserve"> cost-efficient </w:t>
      </w:r>
      <w:r w:rsidR="00D41AAF" w:rsidRPr="007601D4">
        <w:t>payments,</w:t>
      </w:r>
      <w:r w:rsidR="002C59E9" w:rsidRPr="007601D4">
        <w:t xml:space="preserve"> </w:t>
      </w:r>
      <w:r w:rsidR="004718DE" w:rsidRPr="007601D4">
        <w:t xml:space="preserve">and </w:t>
      </w:r>
      <w:r w:rsidR="00FE3802" w:rsidRPr="007601D4">
        <w:t>closer alignment with the EU financial system.</w:t>
      </w:r>
    </w:p>
    <w:p w14:paraId="351A017D" w14:textId="2EA2C3B9" w:rsidR="00AD360C" w:rsidRPr="007601D4" w:rsidRDefault="00AD23F9" w:rsidP="004C1EF6">
      <w:pPr>
        <w:spacing w:line="360" w:lineRule="auto"/>
        <w:rPr>
          <w:szCs w:val="24"/>
        </w:rPr>
      </w:pPr>
      <w:r w:rsidRPr="007601D4">
        <w:rPr>
          <w:szCs w:val="24"/>
        </w:rPr>
        <w:lastRenderedPageBreak/>
        <w:t xml:space="preserve">Industrial </w:t>
      </w:r>
      <w:r w:rsidR="009978C7" w:rsidRPr="007601D4">
        <w:rPr>
          <w:szCs w:val="24"/>
        </w:rPr>
        <w:t xml:space="preserve">development efforts </w:t>
      </w:r>
      <w:r w:rsidR="003B3A98" w:rsidRPr="007601D4">
        <w:rPr>
          <w:szCs w:val="24"/>
        </w:rPr>
        <w:t xml:space="preserve">positioned green industrial </w:t>
      </w:r>
      <w:r w:rsidR="004C1EF6" w:rsidRPr="007601D4">
        <w:rPr>
          <w:szCs w:val="24"/>
        </w:rPr>
        <w:t>transformation and</w:t>
      </w:r>
      <w:r w:rsidRPr="007601D4">
        <w:rPr>
          <w:szCs w:val="24"/>
        </w:rPr>
        <w:t xml:space="preserve"> sustainable tourism </w:t>
      </w:r>
      <w:r w:rsidR="003B3A98" w:rsidRPr="007601D4">
        <w:rPr>
          <w:szCs w:val="24"/>
        </w:rPr>
        <w:t xml:space="preserve">as core drivers of competitiveness </w:t>
      </w:r>
      <w:r w:rsidR="003B1E85" w:rsidRPr="007601D4">
        <w:rPr>
          <w:szCs w:val="24"/>
        </w:rPr>
        <w:t xml:space="preserve">in the WB6. A major milestone was the </w:t>
      </w:r>
      <w:r w:rsidRPr="007601D4">
        <w:rPr>
          <w:szCs w:val="24"/>
        </w:rPr>
        <w:t xml:space="preserve">adoption of </w:t>
      </w:r>
      <w:r w:rsidR="00B05C0F" w:rsidRPr="007601D4">
        <w:rPr>
          <w:szCs w:val="24"/>
        </w:rPr>
        <w:t xml:space="preserve">the </w:t>
      </w:r>
      <w:hyperlink r:id="rId20" w:history="1">
        <w:r w:rsidR="000279DD" w:rsidRPr="007601D4">
          <w:rPr>
            <w:rStyle w:val="Hyperlink"/>
            <w:b/>
            <w:bCs/>
            <w:szCs w:val="24"/>
          </w:rPr>
          <w:t>Joint Statement on the Development and Adoption of Regional Green Public Procurement Criteria in the Western Balkans Six</w:t>
        </w:r>
      </w:hyperlink>
      <w:r w:rsidR="00B05C0F" w:rsidRPr="007601D4">
        <w:rPr>
          <w:szCs w:val="24"/>
        </w:rPr>
        <w:t xml:space="preserve"> </w:t>
      </w:r>
      <w:r w:rsidR="00281565" w:rsidRPr="007601D4">
        <w:rPr>
          <w:szCs w:val="24"/>
        </w:rPr>
        <w:t xml:space="preserve">under the Berlin Process, enabling alignment with </w:t>
      </w:r>
      <w:r w:rsidR="00943533" w:rsidRPr="007601D4">
        <w:rPr>
          <w:szCs w:val="24"/>
        </w:rPr>
        <w:t xml:space="preserve">EU standards and leveraging public spending to drive greener growth. </w:t>
      </w:r>
      <w:r w:rsidR="00ED3579" w:rsidRPr="007601D4">
        <w:rPr>
          <w:szCs w:val="24"/>
        </w:rPr>
        <w:t>Progress was complemented by strategic transition toward</w:t>
      </w:r>
      <w:r w:rsidR="003A0B9B">
        <w:rPr>
          <w:szCs w:val="24"/>
        </w:rPr>
        <w:t>s</w:t>
      </w:r>
      <w:r w:rsidR="00ED3579" w:rsidRPr="007601D4">
        <w:rPr>
          <w:szCs w:val="24"/>
        </w:rPr>
        <w:t xml:space="preserve"> </w:t>
      </w:r>
      <w:r w:rsidR="00B05C0F" w:rsidRPr="007601D4">
        <w:rPr>
          <w:b/>
          <w:bCs/>
          <w:szCs w:val="24"/>
        </w:rPr>
        <w:t>Eco-Industrial Parks (EIPs),</w:t>
      </w:r>
      <w:r w:rsidR="00B05C0F" w:rsidRPr="007601D4">
        <w:rPr>
          <w:szCs w:val="24"/>
        </w:rPr>
        <w:t xml:space="preserve"> </w:t>
      </w:r>
      <w:r w:rsidR="00A232AD" w:rsidRPr="007601D4">
        <w:rPr>
          <w:szCs w:val="24"/>
        </w:rPr>
        <w:t xml:space="preserve">as means to advancing green </w:t>
      </w:r>
      <w:r w:rsidR="00B80E1B" w:rsidRPr="007601D4">
        <w:rPr>
          <w:szCs w:val="24"/>
        </w:rPr>
        <w:t>industrial transformation,</w:t>
      </w:r>
      <w:r w:rsidR="009B74EC" w:rsidRPr="007601D4">
        <w:rPr>
          <w:szCs w:val="24"/>
        </w:rPr>
        <w:t xml:space="preserve"> and </w:t>
      </w:r>
      <w:r w:rsidR="00B05C0F" w:rsidRPr="007601D4">
        <w:rPr>
          <w:szCs w:val="24"/>
        </w:rPr>
        <w:t xml:space="preserve">introduction of a </w:t>
      </w:r>
      <w:r w:rsidR="00B05C0F" w:rsidRPr="007601D4">
        <w:rPr>
          <w:b/>
          <w:bCs/>
          <w:szCs w:val="24"/>
        </w:rPr>
        <w:t>Sectoral Policy Toolkit</w:t>
      </w:r>
      <w:r w:rsidR="00B05C0F" w:rsidRPr="007601D4">
        <w:rPr>
          <w:szCs w:val="24"/>
        </w:rPr>
        <w:t xml:space="preserve">. </w:t>
      </w:r>
      <w:r w:rsidR="00AD360C" w:rsidRPr="007601D4">
        <w:rPr>
          <w:szCs w:val="24"/>
        </w:rPr>
        <w:t>Tourism cooperation advanced through smart tourism frameworks, the launch of digital nomad</w:t>
      </w:r>
      <w:r w:rsidR="00C26FC9" w:rsidRPr="007601D4">
        <w:rPr>
          <w:szCs w:val="24"/>
        </w:rPr>
        <w:t xml:space="preserve"> </w:t>
      </w:r>
      <w:r w:rsidR="00AD360C" w:rsidRPr="007601D4">
        <w:rPr>
          <w:szCs w:val="24"/>
        </w:rPr>
        <w:t>and pilot destination initiatives</w:t>
      </w:r>
      <w:r w:rsidR="004B7803">
        <w:rPr>
          <w:szCs w:val="24"/>
        </w:rPr>
        <w:t>,</w:t>
      </w:r>
      <w:r w:rsidR="006F3962" w:rsidRPr="007601D4">
        <w:rPr>
          <w:szCs w:val="24"/>
        </w:rPr>
        <w:t xml:space="preserve"> and unified regional branding</w:t>
      </w:r>
      <w:r w:rsidR="00C26FC9" w:rsidRPr="007601D4">
        <w:rPr>
          <w:szCs w:val="24"/>
        </w:rPr>
        <w:t xml:space="preserve"> in Durres on 4 June 2025</w:t>
      </w:r>
      <w:r w:rsidR="006F3962" w:rsidRPr="007601D4">
        <w:rPr>
          <w:szCs w:val="24"/>
        </w:rPr>
        <w:t xml:space="preserve">, </w:t>
      </w:r>
      <w:r w:rsidR="00C26FC9" w:rsidRPr="007601D4">
        <w:rPr>
          <w:szCs w:val="24"/>
        </w:rPr>
        <w:t xml:space="preserve">later </w:t>
      </w:r>
      <w:r w:rsidR="006F3962" w:rsidRPr="007601D4">
        <w:rPr>
          <w:szCs w:val="24"/>
        </w:rPr>
        <w:t>adopted under</w:t>
      </w:r>
      <w:r w:rsidR="004B7803">
        <w:rPr>
          <w:szCs w:val="24"/>
        </w:rPr>
        <w:t xml:space="preserve"> the</w:t>
      </w:r>
      <w:r w:rsidR="006F3962" w:rsidRPr="007601D4">
        <w:rPr>
          <w:szCs w:val="24"/>
        </w:rPr>
        <w:t xml:space="preserve"> Berlin Process as the </w:t>
      </w:r>
      <w:hyperlink r:id="rId21" w:history="1">
        <w:r w:rsidR="006F3962" w:rsidRPr="007601D4">
          <w:rPr>
            <w:rStyle w:val="Hyperlink"/>
            <w:b/>
            <w:bCs/>
            <w:szCs w:val="24"/>
          </w:rPr>
          <w:t>Declaration on Western Balkans Six Tourism Branding</w:t>
        </w:r>
      </w:hyperlink>
      <w:r w:rsidR="00AD360C" w:rsidRPr="007601D4">
        <w:rPr>
          <w:szCs w:val="24"/>
        </w:rPr>
        <w:t>.</w:t>
      </w:r>
    </w:p>
    <w:p w14:paraId="6C878DC6" w14:textId="37E5AF89" w:rsidR="00200D10" w:rsidRPr="007601D4" w:rsidRDefault="00715249" w:rsidP="004C1EF6">
      <w:pPr>
        <w:spacing w:line="360" w:lineRule="auto"/>
        <w:rPr>
          <w:szCs w:val="24"/>
        </w:rPr>
      </w:pPr>
      <w:r w:rsidRPr="007601D4">
        <w:rPr>
          <w:szCs w:val="24"/>
        </w:rPr>
        <w:t>H</w:t>
      </w:r>
      <w:r w:rsidR="00206F9D" w:rsidRPr="007601D4">
        <w:rPr>
          <w:szCs w:val="24"/>
        </w:rPr>
        <w:t xml:space="preserve">uman capital development </w:t>
      </w:r>
      <w:r w:rsidRPr="007601D4">
        <w:rPr>
          <w:szCs w:val="24"/>
        </w:rPr>
        <w:t xml:space="preserve">progressed </w:t>
      </w:r>
      <w:r w:rsidR="00206F9D" w:rsidRPr="007601D4">
        <w:rPr>
          <w:szCs w:val="24"/>
        </w:rPr>
        <w:t xml:space="preserve">through </w:t>
      </w:r>
      <w:r w:rsidRPr="007601D4">
        <w:rPr>
          <w:szCs w:val="24"/>
        </w:rPr>
        <w:t xml:space="preserve">strengthened alignment </w:t>
      </w:r>
      <w:r w:rsidR="00E1017B" w:rsidRPr="007601D4">
        <w:rPr>
          <w:szCs w:val="24"/>
        </w:rPr>
        <w:t xml:space="preserve">in </w:t>
      </w:r>
      <w:r w:rsidR="009D4429" w:rsidRPr="007601D4">
        <w:rPr>
          <w:b/>
          <w:bCs/>
          <w:szCs w:val="24"/>
        </w:rPr>
        <w:t xml:space="preserve">higher </w:t>
      </w:r>
      <w:r w:rsidR="0048265E" w:rsidRPr="007601D4">
        <w:rPr>
          <w:b/>
          <w:bCs/>
          <w:szCs w:val="24"/>
        </w:rPr>
        <w:t>education</w:t>
      </w:r>
      <w:r w:rsidR="009019F6" w:rsidRPr="007601D4">
        <w:rPr>
          <w:b/>
          <w:bCs/>
          <w:szCs w:val="24"/>
        </w:rPr>
        <w:t xml:space="preserve"> </w:t>
      </w:r>
      <w:r w:rsidR="000904F2" w:rsidRPr="007601D4">
        <w:rPr>
          <w:szCs w:val="24"/>
        </w:rPr>
        <w:t xml:space="preserve">quality assurance </w:t>
      </w:r>
      <w:r w:rsidR="009019F6" w:rsidRPr="007601D4">
        <w:rPr>
          <w:szCs w:val="24"/>
        </w:rPr>
        <w:t>with</w:t>
      </w:r>
      <w:r w:rsidR="000904F2" w:rsidRPr="007601D4">
        <w:rPr>
          <w:szCs w:val="24"/>
        </w:rPr>
        <w:t xml:space="preserve"> </w:t>
      </w:r>
      <w:r w:rsidR="000904F2" w:rsidRPr="007601D4">
        <w:rPr>
          <w:b/>
          <w:bCs/>
          <w:szCs w:val="24"/>
        </w:rPr>
        <w:t>EU</w:t>
      </w:r>
      <w:r w:rsidR="0045160C">
        <w:rPr>
          <w:b/>
          <w:bCs/>
          <w:szCs w:val="24"/>
        </w:rPr>
        <w:t xml:space="preserve"> </w:t>
      </w:r>
      <w:r w:rsidR="009019F6" w:rsidRPr="007601D4">
        <w:rPr>
          <w:b/>
          <w:bCs/>
          <w:szCs w:val="24"/>
        </w:rPr>
        <w:t>standards</w:t>
      </w:r>
      <w:r w:rsidR="009019F6" w:rsidRPr="007601D4">
        <w:rPr>
          <w:szCs w:val="24"/>
        </w:rPr>
        <w:t xml:space="preserve">, </w:t>
      </w:r>
      <w:r w:rsidR="00C0455E" w:rsidRPr="007601D4">
        <w:rPr>
          <w:szCs w:val="24"/>
        </w:rPr>
        <w:t xml:space="preserve">and targeted </w:t>
      </w:r>
      <w:r w:rsidR="00681757" w:rsidRPr="007601D4">
        <w:rPr>
          <w:szCs w:val="24"/>
        </w:rPr>
        <w:t xml:space="preserve">institutional </w:t>
      </w:r>
      <w:r w:rsidR="000C4B66" w:rsidRPr="007601D4">
        <w:rPr>
          <w:szCs w:val="24"/>
        </w:rPr>
        <w:t>reforms,</w:t>
      </w:r>
      <w:r w:rsidR="00681757" w:rsidRPr="007601D4">
        <w:rPr>
          <w:szCs w:val="24"/>
        </w:rPr>
        <w:t xml:space="preserve"> </w:t>
      </w:r>
      <w:r w:rsidR="009019F6" w:rsidRPr="007601D4">
        <w:rPr>
          <w:szCs w:val="24"/>
        </w:rPr>
        <w:t>reinforcing</w:t>
      </w:r>
      <w:r w:rsidR="00632A05" w:rsidRPr="007601D4">
        <w:rPr>
          <w:szCs w:val="24"/>
        </w:rPr>
        <w:t xml:space="preserve"> trust in qualifications and enabling more effective academic and professional mobility.</w:t>
      </w:r>
      <w:r w:rsidR="00FB00C0" w:rsidRPr="007601D4">
        <w:rPr>
          <w:szCs w:val="24"/>
        </w:rPr>
        <w:t xml:space="preserve"> </w:t>
      </w:r>
      <w:r w:rsidR="00513006" w:rsidRPr="007601D4">
        <w:rPr>
          <w:szCs w:val="24"/>
        </w:rPr>
        <w:t xml:space="preserve">The RCC also elevated </w:t>
      </w:r>
      <w:r w:rsidR="009019F6" w:rsidRPr="007601D4">
        <w:rPr>
          <w:szCs w:val="24"/>
        </w:rPr>
        <w:t>w</w:t>
      </w:r>
      <w:r w:rsidR="00513006" w:rsidRPr="007601D4">
        <w:rPr>
          <w:szCs w:val="24"/>
        </w:rPr>
        <w:t xml:space="preserve">omen’s </w:t>
      </w:r>
      <w:r w:rsidR="007004D1" w:rsidRPr="007601D4">
        <w:rPr>
          <w:szCs w:val="24"/>
        </w:rPr>
        <w:t>e</w:t>
      </w:r>
      <w:r w:rsidR="00513006" w:rsidRPr="007601D4">
        <w:rPr>
          <w:szCs w:val="24"/>
        </w:rPr>
        <w:t xml:space="preserve">conomic </w:t>
      </w:r>
      <w:r w:rsidR="007004D1" w:rsidRPr="007601D4">
        <w:rPr>
          <w:szCs w:val="24"/>
        </w:rPr>
        <w:t>e</w:t>
      </w:r>
      <w:r w:rsidR="00513006" w:rsidRPr="007601D4">
        <w:rPr>
          <w:szCs w:val="24"/>
        </w:rPr>
        <w:t xml:space="preserve">mpowerment </w:t>
      </w:r>
      <w:r w:rsidR="00681757" w:rsidRPr="007601D4">
        <w:rPr>
          <w:szCs w:val="24"/>
        </w:rPr>
        <w:t xml:space="preserve">through </w:t>
      </w:r>
      <w:r w:rsidR="00C85745" w:rsidRPr="007601D4">
        <w:rPr>
          <w:szCs w:val="24"/>
        </w:rPr>
        <w:t xml:space="preserve">adoption of the </w:t>
      </w:r>
      <w:hyperlink r:id="rId22" w:history="1">
        <w:r w:rsidR="00C85745" w:rsidRPr="007601D4">
          <w:rPr>
            <w:rStyle w:val="Hyperlink"/>
            <w:b/>
            <w:bCs/>
            <w:szCs w:val="24"/>
          </w:rPr>
          <w:t>Joint Call for Action on Gender-Responsive Green Finance and accompanying recommendations</w:t>
        </w:r>
      </w:hyperlink>
      <w:r w:rsidR="00C85745" w:rsidRPr="007601D4">
        <w:rPr>
          <w:szCs w:val="24"/>
        </w:rPr>
        <w:t xml:space="preserve"> and </w:t>
      </w:r>
      <w:r w:rsidR="009077C0" w:rsidRPr="007601D4">
        <w:rPr>
          <w:rFonts w:eastAsia="Times New Roman" w:cs="Times New Roman"/>
          <w:b/>
          <w:bCs/>
          <w:szCs w:val="24"/>
        </w:rPr>
        <w:t>Compendium of Good Practices on Access to Finance for Women Entrepreneurs</w:t>
      </w:r>
      <w:r w:rsidR="00C857D4" w:rsidRPr="007601D4">
        <w:rPr>
          <w:rFonts w:eastAsia="Times New Roman" w:cs="Times New Roman"/>
          <w:szCs w:val="24"/>
        </w:rPr>
        <w:t xml:space="preserve">. It also strengthened </w:t>
      </w:r>
      <w:r w:rsidR="00702470" w:rsidRPr="007601D4">
        <w:rPr>
          <w:szCs w:val="24"/>
        </w:rPr>
        <w:t>youth participation in climate and circular economy policymaking</w:t>
      </w:r>
      <w:r w:rsidR="00B67831" w:rsidRPr="007601D4">
        <w:rPr>
          <w:szCs w:val="24"/>
        </w:rPr>
        <w:t xml:space="preserve">. </w:t>
      </w:r>
    </w:p>
    <w:p w14:paraId="627C14BB" w14:textId="1CEC84AC" w:rsidR="00115E40" w:rsidRPr="007601D4" w:rsidRDefault="00723CCC" w:rsidP="004C1EF6">
      <w:pPr>
        <w:spacing w:line="360" w:lineRule="auto"/>
        <w:rPr>
          <w:szCs w:val="24"/>
        </w:rPr>
      </w:pPr>
      <w:r w:rsidRPr="007601D4">
        <w:rPr>
          <w:szCs w:val="24"/>
        </w:rPr>
        <w:t xml:space="preserve">Innovation and research capacity were strengthened through Horizon Europe </w:t>
      </w:r>
      <w:r w:rsidR="004C1EF6" w:rsidRPr="007601D4">
        <w:rPr>
          <w:szCs w:val="24"/>
        </w:rPr>
        <w:t>mobilisation, securing</w:t>
      </w:r>
      <w:r w:rsidR="00064F4F" w:rsidRPr="007601D4">
        <w:rPr>
          <w:szCs w:val="24"/>
        </w:rPr>
        <w:t xml:space="preserve"> </w:t>
      </w:r>
      <w:r w:rsidR="00794B31">
        <w:rPr>
          <w:szCs w:val="24"/>
        </w:rPr>
        <w:t xml:space="preserve">EUR </w:t>
      </w:r>
      <w:r w:rsidR="00064F4F" w:rsidRPr="007601D4">
        <w:rPr>
          <w:szCs w:val="24"/>
        </w:rPr>
        <w:t xml:space="preserve">180.4 million and </w:t>
      </w:r>
      <w:r w:rsidR="009C02A7" w:rsidRPr="007601D4">
        <w:rPr>
          <w:szCs w:val="24"/>
        </w:rPr>
        <w:t xml:space="preserve">leveraging </w:t>
      </w:r>
      <w:r w:rsidR="00064F4F" w:rsidRPr="007601D4">
        <w:rPr>
          <w:szCs w:val="24"/>
        </w:rPr>
        <w:t xml:space="preserve">over </w:t>
      </w:r>
      <w:r w:rsidR="008654E1">
        <w:rPr>
          <w:szCs w:val="24"/>
        </w:rPr>
        <w:t xml:space="preserve">EUR </w:t>
      </w:r>
      <w:r w:rsidR="00064F4F" w:rsidRPr="007601D4">
        <w:rPr>
          <w:szCs w:val="24"/>
        </w:rPr>
        <w:t xml:space="preserve">9 million </w:t>
      </w:r>
      <w:r w:rsidR="0000265A" w:rsidRPr="007601D4">
        <w:rPr>
          <w:szCs w:val="24"/>
        </w:rPr>
        <w:t>via</w:t>
      </w:r>
      <w:r w:rsidR="00064F4F" w:rsidRPr="007601D4">
        <w:rPr>
          <w:szCs w:val="24"/>
        </w:rPr>
        <w:t xml:space="preserve"> </w:t>
      </w:r>
      <w:r w:rsidRPr="007601D4">
        <w:rPr>
          <w:szCs w:val="24"/>
        </w:rPr>
        <w:t>regional innovation platforms</w:t>
      </w:r>
      <w:r w:rsidR="0000265A" w:rsidRPr="007601D4">
        <w:rPr>
          <w:szCs w:val="24"/>
        </w:rPr>
        <w:t>,</w:t>
      </w:r>
      <w:r w:rsidR="00416AAF" w:rsidRPr="007601D4">
        <w:rPr>
          <w:szCs w:val="24"/>
        </w:rPr>
        <w:t xml:space="preserve"> including </w:t>
      </w:r>
      <w:hyperlink r:id="rId23" w:history="1">
        <w:r w:rsidR="00416AAF" w:rsidRPr="007601D4">
          <w:rPr>
            <w:rStyle w:val="Hyperlink"/>
            <w:b/>
            <w:szCs w:val="24"/>
          </w:rPr>
          <w:t>Digital Innovation Hubs</w:t>
        </w:r>
      </w:hyperlink>
      <w:r w:rsidR="006A3192" w:rsidRPr="007601D4">
        <w:rPr>
          <w:szCs w:val="24"/>
        </w:rPr>
        <w:t>,</w:t>
      </w:r>
      <w:r w:rsidR="00416AAF" w:rsidRPr="007601D4">
        <w:rPr>
          <w:szCs w:val="24"/>
        </w:rPr>
        <w:t xml:space="preserve"> </w:t>
      </w:r>
      <w:r w:rsidR="00416AAF" w:rsidRPr="007601D4">
        <w:rPr>
          <w:b/>
          <w:bCs/>
          <w:szCs w:val="24"/>
        </w:rPr>
        <w:t>AI Factory Antennas</w:t>
      </w:r>
      <w:r w:rsidRPr="007601D4">
        <w:rPr>
          <w:szCs w:val="24"/>
        </w:rPr>
        <w:t xml:space="preserve">, and smart specialisation </w:t>
      </w:r>
      <w:r w:rsidR="0000265A" w:rsidRPr="007601D4">
        <w:rPr>
          <w:szCs w:val="24"/>
        </w:rPr>
        <w:t>initiatives</w:t>
      </w:r>
      <w:r w:rsidR="0012523E" w:rsidRPr="007601D4">
        <w:rPr>
          <w:rStyle w:val="FootnoteReference"/>
          <w:sz w:val="24"/>
          <w:szCs w:val="24"/>
        </w:rPr>
        <w:footnoteReference w:id="2"/>
      </w:r>
      <w:r w:rsidR="0012523E" w:rsidRPr="007601D4">
        <w:rPr>
          <w:szCs w:val="24"/>
        </w:rPr>
        <w:t>.</w:t>
      </w:r>
      <w:r w:rsidR="001D2E97" w:rsidRPr="007601D4">
        <w:rPr>
          <w:szCs w:val="24"/>
        </w:rPr>
        <w:t xml:space="preserve"> </w:t>
      </w:r>
      <w:r w:rsidR="0012523E" w:rsidRPr="007601D4">
        <w:rPr>
          <w:szCs w:val="24"/>
        </w:rPr>
        <w:t>These efforts improved funding absorption and strengthened links between research and market application.</w:t>
      </w:r>
      <w:r w:rsidR="000330FE" w:rsidRPr="007601D4">
        <w:rPr>
          <w:szCs w:val="24"/>
        </w:rPr>
        <w:t xml:space="preserve"> </w:t>
      </w:r>
      <w:r w:rsidR="007C48EC" w:rsidRPr="007601D4">
        <w:rPr>
          <w:szCs w:val="24"/>
        </w:rPr>
        <w:t xml:space="preserve">New instruments, </w:t>
      </w:r>
      <w:r w:rsidR="001D2E97" w:rsidRPr="007601D4">
        <w:rPr>
          <w:szCs w:val="24"/>
        </w:rPr>
        <w:t xml:space="preserve">such as </w:t>
      </w:r>
      <w:r w:rsidR="007C48EC" w:rsidRPr="007601D4">
        <w:rPr>
          <w:bCs/>
          <w:szCs w:val="24"/>
        </w:rPr>
        <w:t>the</w:t>
      </w:r>
      <w:r w:rsidR="007C48EC" w:rsidRPr="007601D4">
        <w:rPr>
          <w:b/>
          <w:szCs w:val="24"/>
        </w:rPr>
        <w:t xml:space="preserve"> </w:t>
      </w:r>
      <w:hyperlink r:id="rId24" w:history="1">
        <w:r w:rsidR="007C48EC" w:rsidRPr="007601D4">
          <w:rPr>
            <w:rStyle w:val="Hyperlink"/>
            <w:b/>
            <w:szCs w:val="24"/>
          </w:rPr>
          <w:t>Regional R&amp;I Matchmaking Platform</w:t>
        </w:r>
      </w:hyperlink>
      <w:r w:rsidR="007C48EC" w:rsidRPr="007601D4">
        <w:rPr>
          <w:szCs w:val="24"/>
        </w:rPr>
        <w:t xml:space="preserve"> for research infrastructures, startup ecosystem analysis, and targeted sector programmes such as </w:t>
      </w:r>
      <w:r w:rsidR="007C48EC" w:rsidRPr="007601D4">
        <w:rPr>
          <w:b/>
          <w:bCs/>
          <w:szCs w:val="24"/>
        </w:rPr>
        <w:t>Level UP</w:t>
      </w:r>
      <w:r w:rsidR="007C48EC" w:rsidRPr="007601D4">
        <w:rPr>
          <w:szCs w:val="24"/>
        </w:rPr>
        <w:t xml:space="preserve">, further enhanced innovation capacity and policy alignment. </w:t>
      </w:r>
      <w:r w:rsidR="008A4B10" w:rsidRPr="007601D4">
        <w:rPr>
          <w:szCs w:val="24"/>
        </w:rPr>
        <w:t>C</w:t>
      </w:r>
      <w:r w:rsidR="007C48EC" w:rsidRPr="007601D4">
        <w:rPr>
          <w:szCs w:val="24"/>
        </w:rPr>
        <w:t xml:space="preserve">omplemented by the </w:t>
      </w:r>
      <w:r w:rsidR="007C48EC" w:rsidRPr="007601D4">
        <w:rPr>
          <w:b/>
          <w:bCs/>
          <w:szCs w:val="24"/>
        </w:rPr>
        <w:t>Butterfly Innovation Forum</w:t>
      </w:r>
      <w:r w:rsidR="007C48EC" w:rsidRPr="007601D4">
        <w:rPr>
          <w:szCs w:val="24"/>
        </w:rPr>
        <w:t xml:space="preserve"> and capacity</w:t>
      </w:r>
      <w:r w:rsidR="00574E7F">
        <w:rPr>
          <w:szCs w:val="24"/>
        </w:rPr>
        <w:t xml:space="preserve"> </w:t>
      </w:r>
      <w:r w:rsidR="007C48EC" w:rsidRPr="007601D4">
        <w:rPr>
          <w:szCs w:val="24"/>
        </w:rPr>
        <w:t xml:space="preserve">building </w:t>
      </w:r>
      <w:r w:rsidR="008A4B10" w:rsidRPr="007601D4">
        <w:rPr>
          <w:szCs w:val="24"/>
        </w:rPr>
        <w:t xml:space="preserve">initiatives, these actions are helping </w:t>
      </w:r>
      <w:r w:rsidR="007C48EC" w:rsidRPr="007601D4">
        <w:rPr>
          <w:szCs w:val="24"/>
        </w:rPr>
        <w:t>clos</w:t>
      </w:r>
      <w:r w:rsidR="008A4B10" w:rsidRPr="007601D4">
        <w:rPr>
          <w:szCs w:val="24"/>
        </w:rPr>
        <w:t>e</w:t>
      </w:r>
      <w:r w:rsidR="007C48EC" w:rsidRPr="007601D4">
        <w:rPr>
          <w:szCs w:val="24"/>
        </w:rPr>
        <w:t xml:space="preserve"> the research-to-market gap, scal</w:t>
      </w:r>
      <w:r w:rsidR="006F237B" w:rsidRPr="007601D4">
        <w:rPr>
          <w:szCs w:val="24"/>
        </w:rPr>
        <w:t>e</w:t>
      </w:r>
      <w:r w:rsidR="007C48EC" w:rsidRPr="007601D4">
        <w:rPr>
          <w:szCs w:val="24"/>
        </w:rPr>
        <w:t xml:space="preserve"> innovation ecosystems, and support the WB6’s gradual convergence with the EU innovation landscape.</w:t>
      </w:r>
      <w:r w:rsidR="002D788A" w:rsidRPr="007601D4">
        <w:rPr>
          <w:szCs w:val="24"/>
        </w:rPr>
        <w:t xml:space="preserve"> </w:t>
      </w:r>
      <w:r w:rsidRPr="007601D4">
        <w:rPr>
          <w:szCs w:val="24"/>
        </w:rPr>
        <w:t xml:space="preserve">Labour market convergence progressed through </w:t>
      </w:r>
      <w:r w:rsidR="00B2251E" w:rsidRPr="007601D4">
        <w:rPr>
          <w:szCs w:val="24"/>
        </w:rPr>
        <w:t xml:space="preserve">Employment and Social Affairs Platform </w:t>
      </w:r>
      <w:r w:rsidR="00B2251E" w:rsidRPr="007601D4">
        <w:rPr>
          <w:szCs w:val="24"/>
        </w:rPr>
        <w:lastRenderedPageBreak/>
        <w:t>(</w:t>
      </w:r>
      <w:r w:rsidRPr="007601D4">
        <w:rPr>
          <w:szCs w:val="24"/>
        </w:rPr>
        <w:t>ESAP3</w:t>
      </w:r>
      <w:r w:rsidR="00B2251E" w:rsidRPr="007601D4">
        <w:rPr>
          <w:szCs w:val="24"/>
        </w:rPr>
        <w:t>)</w:t>
      </w:r>
      <w:r w:rsidRPr="007601D4">
        <w:rPr>
          <w:szCs w:val="24"/>
        </w:rPr>
        <w:t xml:space="preserve">, with strengthened public employment services, updated </w:t>
      </w:r>
      <w:hyperlink r:id="rId25" w:history="1">
        <w:r w:rsidR="002D788A" w:rsidRPr="007601D4">
          <w:rPr>
            <w:rStyle w:val="Hyperlink"/>
            <w:b/>
            <w:bCs/>
            <w:szCs w:val="24"/>
          </w:rPr>
          <w:t>WB6 Social Scoreboard</w:t>
        </w:r>
      </w:hyperlink>
      <w:r w:rsidRPr="007601D4">
        <w:rPr>
          <w:szCs w:val="24"/>
        </w:rPr>
        <w:t xml:space="preserve"> monitoring, and expanded cooperation on undeclared work and job–skills matching.</w:t>
      </w:r>
      <w:r w:rsidR="00BC605D" w:rsidRPr="007601D4">
        <w:rPr>
          <w:szCs w:val="24"/>
        </w:rPr>
        <w:t xml:space="preserve"> </w:t>
      </w:r>
    </w:p>
    <w:p w14:paraId="317DA206" w14:textId="0E4FC92E" w:rsidR="00B15D35" w:rsidRPr="007601D4" w:rsidRDefault="00B15D35" w:rsidP="004C1EF6">
      <w:pPr>
        <w:spacing w:line="360" w:lineRule="auto"/>
        <w:rPr>
          <w:szCs w:val="24"/>
        </w:rPr>
      </w:pPr>
      <w:r w:rsidRPr="007601D4">
        <w:rPr>
          <w:szCs w:val="24"/>
        </w:rPr>
        <w:t xml:space="preserve">The digital agenda delivered concrete regional results, including the </w:t>
      </w:r>
      <w:r w:rsidRPr="007601D4">
        <w:rPr>
          <w:b/>
          <w:bCs/>
          <w:szCs w:val="24"/>
        </w:rPr>
        <w:t>WB Digital Summit</w:t>
      </w:r>
      <w:r w:rsidRPr="007601D4">
        <w:rPr>
          <w:szCs w:val="24"/>
        </w:rPr>
        <w:t xml:space="preserve"> outcomes</w:t>
      </w:r>
      <w:r w:rsidR="0091209D" w:rsidRPr="007601D4">
        <w:rPr>
          <w:rStyle w:val="FootnoteReference"/>
          <w:sz w:val="24"/>
          <w:szCs w:val="24"/>
        </w:rPr>
        <w:footnoteReference w:id="3"/>
      </w:r>
      <w:r w:rsidRPr="007601D4">
        <w:rPr>
          <w:szCs w:val="24"/>
        </w:rPr>
        <w:t>,</w:t>
      </w:r>
      <w:r w:rsidR="0091209D" w:rsidRPr="007601D4">
        <w:rPr>
          <w:szCs w:val="24"/>
        </w:rPr>
        <w:t xml:space="preserve"> </w:t>
      </w:r>
      <w:r w:rsidRPr="007601D4">
        <w:rPr>
          <w:szCs w:val="24"/>
        </w:rPr>
        <w:t>interoperable digital identity and trust services frameworks</w:t>
      </w:r>
      <w:r w:rsidR="0091209D" w:rsidRPr="007601D4">
        <w:rPr>
          <w:rStyle w:val="FootnoteReference"/>
          <w:sz w:val="24"/>
          <w:szCs w:val="24"/>
        </w:rPr>
        <w:footnoteReference w:id="4"/>
      </w:r>
      <w:r w:rsidRPr="007601D4">
        <w:rPr>
          <w:szCs w:val="24"/>
        </w:rPr>
        <w:t xml:space="preserve">, cybersecurity coordination tools, and the </w:t>
      </w:r>
      <w:hyperlink r:id="rId26" w:history="1">
        <w:r w:rsidRPr="007601D4">
          <w:rPr>
            <w:rStyle w:val="Hyperlink"/>
            <w:b/>
            <w:bCs/>
            <w:szCs w:val="24"/>
          </w:rPr>
          <w:t>WB DESI 2025 Report</w:t>
        </w:r>
      </w:hyperlink>
      <w:r w:rsidR="009922E8" w:rsidRPr="007601D4">
        <w:rPr>
          <w:b/>
          <w:bCs/>
          <w:szCs w:val="24"/>
        </w:rPr>
        <w:t xml:space="preserve"> </w:t>
      </w:r>
      <w:r w:rsidR="009922E8" w:rsidRPr="007601D4">
        <w:rPr>
          <w:szCs w:val="24"/>
        </w:rPr>
        <w:t>reinforcing the WB6’s collective drive toward</w:t>
      </w:r>
      <w:r w:rsidR="00920F70">
        <w:rPr>
          <w:szCs w:val="24"/>
        </w:rPr>
        <w:t>s</w:t>
      </w:r>
      <w:r w:rsidR="009922E8" w:rsidRPr="007601D4">
        <w:rPr>
          <w:szCs w:val="24"/>
        </w:rPr>
        <w:t xml:space="preserve"> accelerated digital transformation across the region. </w:t>
      </w:r>
      <w:r w:rsidRPr="007601D4">
        <w:rPr>
          <w:szCs w:val="24"/>
        </w:rPr>
        <w:t>Key advances included strengthened broadband reform analysis</w:t>
      </w:r>
      <w:r w:rsidR="0026241B" w:rsidRPr="007601D4">
        <w:rPr>
          <w:szCs w:val="24"/>
        </w:rPr>
        <w:t xml:space="preserve"> including</w:t>
      </w:r>
      <w:r w:rsidR="006E2E3E" w:rsidRPr="007601D4">
        <w:rPr>
          <w:szCs w:val="24"/>
        </w:rPr>
        <w:t xml:space="preserve"> comprehensive public–private review of permitting procedures</w:t>
      </w:r>
      <w:r w:rsidRPr="007601D4">
        <w:rPr>
          <w:szCs w:val="24"/>
        </w:rPr>
        <w:t>, a cybersecurity database under IISG, and regional agreements on digital connectivity and identity interoperability aligned with EU</w:t>
      </w:r>
      <w:r w:rsidR="008B3759" w:rsidRPr="007601D4">
        <w:rPr>
          <w:szCs w:val="24"/>
        </w:rPr>
        <w:t xml:space="preserve"> standards</w:t>
      </w:r>
      <w:r w:rsidRPr="007601D4">
        <w:rPr>
          <w:szCs w:val="24"/>
        </w:rPr>
        <w:t>.</w:t>
      </w:r>
    </w:p>
    <w:p w14:paraId="29678802" w14:textId="2291BBDC" w:rsidR="00577BDF" w:rsidRPr="007601D4" w:rsidRDefault="005C417D" w:rsidP="004C1EF6">
      <w:pPr>
        <w:spacing w:line="360" w:lineRule="auto"/>
        <w:rPr>
          <w:rFonts w:cs="Times New Roman"/>
          <w:szCs w:val="24"/>
        </w:rPr>
      </w:pPr>
      <w:r w:rsidRPr="007601D4">
        <w:rPr>
          <w:rFonts w:cs="Times New Roman"/>
          <w:szCs w:val="24"/>
        </w:rPr>
        <w:t xml:space="preserve">Through RCC-facilitated coordination, all 2025 Berlin Process Green Agenda deliverables were completed and endorsed at the Second Ministerial Meeting </w:t>
      </w:r>
      <w:r w:rsidR="00552128" w:rsidRPr="007601D4">
        <w:rPr>
          <w:rFonts w:cs="Times New Roman"/>
          <w:szCs w:val="24"/>
        </w:rPr>
        <w:t xml:space="preserve">in </w:t>
      </w:r>
      <w:r w:rsidRPr="007601D4">
        <w:rPr>
          <w:rFonts w:cs="Times New Roman"/>
          <w:szCs w:val="24"/>
        </w:rPr>
        <w:t>October 2025</w:t>
      </w:r>
      <w:r w:rsidR="00552128" w:rsidRPr="007601D4">
        <w:rPr>
          <w:rFonts w:cs="Times New Roman"/>
          <w:szCs w:val="24"/>
        </w:rPr>
        <w:t xml:space="preserve"> in Dubrovnik. This </w:t>
      </w:r>
      <w:r w:rsidRPr="007601D4">
        <w:rPr>
          <w:rFonts w:cs="Times New Roman"/>
          <w:szCs w:val="24"/>
        </w:rPr>
        <w:t>result</w:t>
      </w:r>
      <w:r w:rsidR="00552128" w:rsidRPr="007601D4">
        <w:rPr>
          <w:rFonts w:cs="Times New Roman"/>
          <w:szCs w:val="24"/>
        </w:rPr>
        <w:t>ed</w:t>
      </w:r>
      <w:r w:rsidRPr="007601D4">
        <w:rPr>
          <w:rFonts w:cs="Times New Roman"/>
          <w:szCs w:val="24"/>
        </w:rPr>
        <w:t xml:space="preserve"> in the </w:t>
      </w:r>
      <w:hyperlink r:id="rId27" w:history="1">
        <w:r w:rsidR="00965C4D" w:rsidRPr="007601D4">
          <w:rPr>
            <w:rStyle w:val="Hyperlink"/>
            <w:b/>
            <w:bCs/>
            <w:szCs w:val="24"/>
          </w:rPr>
          <w:t>Dubrovnik Declaration on the Green Agenda for the Western Balkans</w:t>
        </w:r>
      </w:hyperlink>
      <w:r w:rsidRPr="007601D4">
        <w:rPr>
          <w:rFonts w:cs="Times New Roman"/>
          <w:szCs w:val="24"/>
        </w:rPr>
        <w:t xml:space="preserve"> and adoption of key regional instruments, including the </w:t>
      </w:r>
      <w:hyperlink r:id="rId28" w:history="1">
        <w:r w:rsidR="00E939B1" w:rsidRPr="007601D4">
          <w:rPr>
            <w:rStyle w:val="Hyperlink"/>
            <w:rFonts w:cs="Times New Roman"/>
            <w:b/>
            <w:bCs/>
            <w:szCs w:val="24"/>
          </w:rPr>
          <w:t>Revised GAWB Action Plan (2025-2030)</w:t>
        </w:r>
        <w:r w:rsidR="00E939B1" w:rsidRPr="007601D4">
          <w:rPr>
            <w:rStyle w:val="Hyperlink"/>
            <w:rFonts w:cs="Times New Roman"/>
            <w:szCs w:val="24"/>
          </w:rPr>
          <w:t>,</w:t>
        </w:r>
      </w:hyperlink>
      <w:r w:rsidRPr="007601D4">
        <w:rPr>
          <w:rFonts w:cs="Times New Roman"/>
          <w:szCs w:val="24"/>
        </w:rPr>
        <w:t xml:space="preserve"> </w:t>
      </w:r>
      <w:hyperlink r:id="rId29" w:history="1">
        <w:r w:rsidR="00065E54" w:rsidRPr="007601D4">
          <w:rPr>
            <w:rStyle w:val="Hyperlink"/>
            <w:b/>
            <w:bCs/>
            <w:szCs w:val="24"/>
          </w:rPr>
          <w:t>WB6 Climate Adaptation Roadmap</w:t>
        </w:r>
      </w:hyperlink>
      <w:r w:rsidRPr="007601D4">
        <w:rPr>
          <w:rFonts w:cs="Times New Roman"/>
          <w:b/>
          <w:bCs/>
          <w:szCs w:val="24"/>
        </w:rPr>
        <w:t xml:space="preserve">, </w:t>
      </w:r>
      <w:hyperlink r:id="rId30" w:history="1">
        <w:r w:rsidR="00065E54" w:rsidRPr="007601D4">
          <w:rPr>
            <w:rStyle w:val="Hyperlink"/>
            <w:b/>
            <w:bCs/>
            <w:szCs w:val="24"/>
          </w:rPr>
          <w:t>Regional Action Plan for the Implementation of the Joint Statement on Plastic Pollution Prevention, including Marine Litter</w:t>
        </w:r>
      </w:hyperlink>
      <w:r w:rsidRPr="007601D4">
        <w:rPr>
          <w:rFonts w:cs="Times New Roman"/>
          <w:b/>
          <w:bCs/>
          <w:szCs w:val="24"/>
        </w:rPr>
        <w:t>,</w:t>
      </w:r>
      <w:r w:rsidRPr="007601D4">
        <w:rPr>
          <w:rFonts w:cs="Times New Roman"/>
          <w:szCs w:val="24"/>
        </w:rPr>
        <w:t xml:space="preserve"> </w:t>
      </w:r>
      <w:hyperlink r:id="rId31" w:history="1">
        <w:r w:rsidR="008D7DE1" w:rsidRPr="007601D4">
          <w:rPr>
            <w:rStyle w:val="Hyperlink"/>
            <w:rFonts w:cs="Times New Roman"/>
            <w:b/>
            <w:bCs/>
            <w:szCs w:val="24"/>
          </w:rPr>
          <w:t>WB6 Biodiversity Strategic Plan 2030 (BSP 2030)</w:t>
        </w:r>
      </w:hyperlink>
      <w:r w:rsidRPr="007601D4">
        <w:rPr>
          <w:rFonts w:cs="Times New Roman"/>
          <w:szCs w:val="24"/>
        </w:rPr>
        <w:t xml:space="preserve"> and </w:t>
      </w:r>
      <w:hyperlink r:id="rId32" w:tgtFrame="_new" w:history="1">
        <w:r w:rsidR="003E21D8" w:rsidRPr="007601D4">
          <w:rPr>
            <w:rStyle w:val="Hyperlink"/>
            <w:rFonts w:cs="Times New Roman"/>
            <w:b/>
            <w:bCs/>
            <w:szCs w:val="24"/>
          </w:rPr>
          <w:t>2024 Report on the Implementation of the Green Agenda for the Western Balkans Action Plan (GARI)</w:t>
        </w:r>
      </w:hyperlink>
      <w:r w:rsidR="00B006D1" w:rsidRPr="007601D4">
        <w:rPr>
          <w:rFonts w:cs="Times New Roman"/>
          <w:szCs w:val="24"/>
        </w:rPr>
        <w:t xml:space="preserve">. These </w:t>
      </w:r>
      <w:r w:rsidR="004B05B2" w:rsidRPr="007601D4">
        <w:rPr>
          <w:rFonts w:cs="Times New Roman"/>
          <w:szCs w:val="24"/>
        </w:rPr>
        <w:t>outcomes strengthened</w:t>
      </w:r>
      <w:r w:rsidRPr="007601D4">
        <w:rPr>
          <w:rFonts w:cs="Times New Roman"/>
          <w:szCs w:val="24"/>
        </w:rPr>
        <w:t xml:space="preserve"> regional political commitment and operationalis</w:t>
      </w:r>
      <w:r w:rsidR="00B006D1" w:rsidRPr="007601D4">
        <w:rPr>
          <w:rFonts w:cs="Times New Roman"/>
          <w:szCs w:val="24"/>
        </w:rPr>
        <w:t>ed</w:t>
      </w:r>
      <w:r w:rsidRPr="007601D4">
        <w:rPr>
          <w:rFonts w:cs="Times New Roman"/>
          <w:szCs w:val="24"/>
        </w:rPr>
        <w:t xml:space="preserve"> EU-aligned green transition priorities across the WB6.</w:t>
      </w:r>
      <w:r w:rsidR="00067B1E" w:rsidRPr="007601D4">
        <w:rPr>
          <w:rFonts w:cs="Times New Roman"/>
          <w:szCs w:val="24"/>
        </w:rPr>
        <w:t xml:space="preserve"> In 2026, </w:t>
      </w:r>
      <w:r w:rsidR="00D47FC5" w:rsidRPr="007601D4">
        <w:rPr>
          <w:rFonts w:cs="Times New Roman"/>
          <w:szCs w:val="24"/>
        </w:rPr>
        <w:t xml:space="preserve">focus shifted </w:t>
      </w:r>
      <w:r w:rsidR="00067B1E" w:rsidRPr="007601D4">
        <w:rPr>
          <w:rFonts w:cs="Times New Roman"/>
          <w:szCs w:val="24"/>
        </w:rPr>
        <w:t>to implement</w:t>
      </w:r>
      <w:r w:rsidR="00D47FC5" w:rsidRPr="007601D4">
        <w:rPr>
          <w:rFonts w:cs="Times New Roman"/>
          <w:szCs w:val="24"/>
        </w:rPr>
        <w:t>ation of the</w:t>
      </w:r>
      <w:r w:rsidR="00067B1E" w:rsidRPr="007601D4">
        <w:rPr>
          <w:rFonts w:cs="Times New Roman"/>
          <w:szCs w:val="24"/>
        </w:rPr>
        <w:t xml:space="preserve"> Dubrovnik Declaration commitments,</w:t>
      </w:r>
      <w:r w:rsidR="00311533" w:rsidRPr="007601D4">
        <w:rPr>
          <w:rFonts w:cs="Times New Roman"/>
          <w:szCs w:val="24"/>
        </w:rPr>
        <w:t xml:space="preserve"> </w:t>
      </w:r>
      <w:r w:rsidR="004161B1" w:rsidRPr="007601D4">
        <w:rPr>
          <w:rFonts w:cs="Times New Roman"/>
          <w:szCs w:val="24"/>
        </w:rPr>
        <w:t xml:space="preserve">including </w:t>
      </w:r>
      <w:r w:rsidR="009C450F" w:rsidRPr="007601D4">
        <w:rPr>
          <w:rFonts w:cs="Times New Roman"/>
          <w:szCs w:val="24"/>
        </w:rPr>
        <w:t xml:space="preserve">operationalisation and monitoring of the </w:t>
      </w:r>
      <w:r w:rsidR="00623B73" w:rsidRPr="007601D4">
        <w:rPr>
          <w:rFonts w:cs="Times New Roman"/>
          <w:szCs w:val="24"/>
        </w:rPr>
        <w:t xml:space="preserve">WB </w:t>
      </w:r>
      <w:r w:rsidR="009C450F" w:rsidRPr="007601D4">
        <w:rPr>
          <w:rFonts w:cs="Times New Roman"/>
          <w:szCs w:val="24"/>
        </w:rPr>
        <w:t>Green Agenda</w:t>
      </w:r>
      <w:r w:rsidR="004B05B2" w:rsidRPr="007601D4">
        <w:rPr>
          <w:rFonts w:cs="Times New Roman"/>
          <w:szCs w:val="24"/>
        </w:rPr>
        <w:t>, harmonised</w:t>
      </w:r>
      <w:r w:rsidR="009C450F" w:rsidRPr="007601D4">
        <w:rPr>
          <w:rFonts w:cs="Times New Roman"/>
          <w:szCs w:val="24"/>
        </w:rPr>
        <w:t xml:space="preserve"> regulatory </w:t>
      </w:r>
      <w:r w:rsidR="00623B73" w:rsidRPr="007601D4">
        <w:rPr>
          <w:rFonts w:cs="Times New Roman"/>
          <w:szCs w:val="24"/>
        </w:rPr>
        <w:t xml:space="preserve">frameworks, </w:t>
      </w:r>
      <w:r w:rsidR="009C450F" w:rsidRPr="007601D4">
        <w:rPr>
          <w:rFonts w:cs="Times New Roman"/>
          <w:szCs w:val="24"/>
        </w:rPr>
        <w:t>establish</w:t>
      </w:r>
      <w:r w:rsidR="004B05B2" w:rsidRPr="007601D4">
        <w:rPr>
          <w:rFonts w:cs="Times New Roman"/>
          <w:szCs w:val="24"/>
        </w:rPr>
        <w:t>ment of</w:t>
      </w:r>
      <w:r w:rsidR="009C450F" w:rsidRPr="007601D4">
        <w:rPr>
          <w:rFonts w:cs="Times New Roman"/>
          <w:szCs w:val="24"/>
        </w:rPr>
        <w:t xml:space="preserve"> the GAWB Observatory Platform and </w:t>
      </w:r>
      <w:r w:rsidR="004B05B2" w:rsidRPr="007601D4">
        <w:rPr>
          <w:rFonts w:cs="Times New Roman"/>
          <w:szCs w:val="24"/>
        </w:rPr>
        <w:t>integrated data driven reporting (</w:t>
      </w:r>
      <w:r w:rsidR="009C450F" w:rsidRPr="007601D4">
        <w:rPr>
          <w:rFonts w:cs="Times New Roman"/>
          <w:szCs w:val="24"/>
        </w:rPr>
        <w:t>2025 GARI Report</w:t>
      </w:r>
      <w:r w:rsidR="004B05B2" w:rsidRPr="007601D4">
        <w:rPr>
          <w:rFonts w:cs="Times New Roman"/>
          <w:szCs w:val="24"/>
        </w:rPr>
        <w:t xml:space="preserve">). </w:t>
      </w:r>
      <w:r w:rsidR="009C450F" w:rsidRPr="007601D4">
        <w:rPr>
          <w:rFonts w:cs="Times New Roman"/>
          <w:szCs w:val="24"/>
        </w:rPr>
        <w:t xml:space="preserve"> </w:t>
      </w:r>
    </w:p>
    <w:p w14:paraId="7AFAC250" w14:textId="26530CAB" w:rsidR="00190534" w:rsidRPr="007601D4" w:rsidRDefault="002A6A41" w:rsidP="004C1EF6">
      <w:pPr>
        <w:spacing w:line="360" w:lineRule="auto"/>
        <w:rPr>
          <w:rFonts w:eastAsia="Times New Roman" w:cs="Times New Roman"/>
          <w:szCs w:val="24"/>
        </w:rPr>
      </w:pPr>
      <w:r w:rsidRPr="007601D4">
        <w:rPr>
          <w:rFonts w:cs="Times New Roman"/>
          <w:szCs w:val="24"/>
        </w:rPr>
        <w:t xml:space="preserve">RCC advanced parliamentary cooperation, good governance, and security through structured </w:t>
      </w:r>
      <w:r w:rsidR="00687D52" w:rsidRPr="007601D4">
        <w:rPr>
          <w:rFonts w:cs="Times New Roman"/>
          <w:szCs w:val="24"/>
        </w:rPr>
        <w:t>regional</w:t>
      </w:r>
      <w:r w:rsidRPr="007601D4">
        <w:rPr>
          <w:rFonts w:cs="Times New Roman"/>
          <w:szCs w:val="24"/>
        </w:rPr>
        <w:t xml:space="preserve"> platforms, supporting SEECP Parliamentary Assembly</w:t>
      </w:r>
      <w:r w:rsidR="00687D52" w:rsidRPr="007601D4">
        <w:rPr>
          <w:rFonts w:cs="Times New Roman"/>
          <w:szCs w:val="24"/>
        </w:rPr>
        <w:t xml:space="preserve"> work</w:t>
      </w:r>
      <w:r w:rsidRPr="007601D4">
        <w:rPr>
          <w:rFonts w:cs="Times New Roman"/>
          <w:szCs w:val="24"/>
        </w:rPr>
        <w:t xml:space="preserve"> </w:t>
      </w:r>
      <w:r w:rsidR="001F72AC" w:rsidRPr="007601D4">
        <w:rPr>
          <w:rFonts w:cs="Times New Roman"/>
          <w:szCs w:val="24"/>
        </w:rPr>
        <w:t xml:space="preserve">by </w:t>
      </w:r>
      <w:r w:rsidRPr="007601D4">
        <w:rPr>
          <w:rFonts w:cs="Times New Roman"/>
          <w:szCs w:val="24"/>
        </w:rPr>
        <w:t>presenting regional trade and transport analysis, facilitating COSAP cooperation and structured parliamentary dialogue with EU institutions.</w:t>
      </w:r>
      <w:r w:rsidR="00725E27" w:rsidRPr="007601D4">
        <w:rPr>
          <w:rFonts w:cs="Times New Roman"/>
          <w:szCs w:val="24"/>
        </w:rPr>
        <w:t xml:space="preserve"> </w:t>
      </w:r>
      <w:r w:rsidR="0030429E" w:rsidRPr="007601D4">
        <w:rPr>
          <w:rFonts w:cs="Times New Roman"/>
          <w:szCs w:val="24"/>
        </w:rPr>
        <w:t xml:space="preserve"> In security, RCC reinforced its role as a driver of operational cooperation through the </w:t>
      </w:r>
      <w:hyperlink r:id="rId33" w:history="1">
        <w:r w:rsidR="00F76A52" w:rsidRPr="007601D4">
          <w:rPr>
            <w:rStyle w:val="Hyperlink"/>
            <w:rFonts w:cs="Times New Roman"/>
            <w:b/>
            <w:bCs/>
            <w:szCs w:val="24"/>
            <w:shd w:val="clear" w:color="auto" w:fill="FFFFFF"/>
          </w:rPr>
          <w:t>Regional Security Coordination Conference (JUMBO Conference)</w:t>
        </w:r>
      </w:hyperlink>
      <w:r w:rsidR="00F76A52" w:rsidRPr="007601D4">
        <w:rPr>
          <w:szCs w:val="24"/>
        </w:rPr>
        <w:t xml:space="preserve"> </w:t>
      </w:r>
      <w:r w:rsidR="0030429E" w:rsidRPr="007601D4">
        <w:rPr>
          <w:rFonts w:cs="Times New Roman"/>
          <w:szCs w:val="24"/>
        </w:rPr>
        <w:t xml:space="preserve">and its </w:t>
      </w:r>
      <w:hyperlink r:id="rId34" w:history="1">
        <w:r w:rsidR="00F76A52" w:rsidRPr="007601D4">
          <w:rPr>
            <w:rStyle w:val="Hyperlink"/>
            <w:b/>
            <w:bCs/>
            <w:szCs w:val="24"/>
          </w:rPr>
          <w:t>Post-Conference Report</w:t>
        </w:r>
      </w:hyperlink>
      <w:r w:rsidR="0030429E" w:rsidRPr="007601D4">
        <w:rPr>
          <w:rFonts w:cs="Times New Roman"/>
          <w:szCs w:val="24"/>
        </w:rPr>
        <w:t xml:space="preserve">, </w:t>
      </w:r>
      <w:r w:rsidR="00E03F45" w:rsidRPr="007601D4">
        <w:rPr>
          <w:rFonts w:cs="Times New Roman"/>
          <w:szCs w:val="24"/>
        </w:rPr>
        <w:t xml:space="preserve">and analytical </w:t>
      </w:r>
      <w:r w:rsidR="00912284" w:rsidRPr="007601D4">
        <w:rPr>
          <w:rFonts w:cs="Times New Roman"/>
          <w:szCs w:val="24"/>
        </w:rPr>
        <w:t xml:space="preserve">role through </w:t>
      </w:r>
      <w:hyperlink r:id="rId35" w:history="1">
        <w:proofErr w:type="spellStart"/>
        <w:r w:rsidR="0030429E" w:rsidRPr="007601D4">
          <w:rPr>
            <w:rStyle w:val="Hyperlink"/>
            <w:rFonts w:cs="Times New Roman"/>
            <w:b/>
            <w:bCs/>
            <w:szCs w:val="24"/>
          </w:rPr>
          <w:t>SecuriMeter</w:t>
        </w:r>
        <w:proofErr w:type="spellEnd"/>
      </w:hyperlink>
      <w:r w:rsidR="0030429E" w:rsidRPr="007601D4">
        <w:rPr>
          <w:rFonts w:cs="Times New Roman"/>
          <w:b/>
          <w:bCs/>
          <w:szCs w:val="24"/>
        </w:rPr>
        <w:t xml:space="preserve">, </w:t>
      </w:r>
      <w:r w:rsidR="00E03F45" w:rsidRPr="007601D4">
        <w:rPr>
          <w:rFonts w:cs="Times New Roman"/>
          <w:szCs w:val="24"/>
          <w:shd w:val="clear" w:color="auto" w:fill="FFFFFF"/>
        </w:rPr>
        <w:t xml:space="preserve">to </w:t>
      </w:r>
      <w:r w:rsidR="00E03F45" w:rsidRPr="007601D4">
        <w:rPr>
          <w:rFonts w:cs="Times New Roman"/>
          <w:szCs w:val="24"/>
          <w:shd w:val="clear" w:color="auto" w:fill="FFFFFF"/>
        </w:rPr>
        <w:lastRenderedPageBreak/>
        <w:t xml:space="preserve">support evidence-based policymaking and stronger, more coherent regional security cooperation. </w:t>
      </w:r>
      <w:r w:rsidR="00190534" w:rsidRPr="007601D4">
        <w:rPr>
          <w:szCs w:val="24"/>
        </w:rPr>
        <w:t xml:space="preserve">The </w:t>
      </w:r>
      <w:r w:rsidR="001C1E79" w:rsidRPr="007601D4">
        <w:rPr>
          <w:szCs w:val="24"/>
        </w:rPr>
        <w:t>evolution of the</w:t>
      </w:r>
      <w:r w:rsidR="001C1E79" w:rsidRPr="007601D4">
        <w:rPr>
          <w:b/>
          <w:bCs/>
          <w:szCs w:val="24"/>
        </w:rPr>
        <w:t xml:space="preserve"> </w:t>
      </w:r>
      <w:r w:rsidR="00190534" w:rsidRPr="007601D4">
        <w:rPr>
          <w:b/>
          <w:bCs/>
          <w:szCs w:val="24"/>
        </w:rPr>
        <w:t>Internal Integrative Security Governance (IISG)</w:t>
      </w:r>
      <w:r w:rsidR="00190534" w:rsidRPr="007601D4">
        <w:rPr>
          <w:szCs w:val="24"/>
        </w:rPr>
        <w:t xml:space="preserve"> </w:t>
      </w:r>
      <w:r w:rsidR="001C1E79" w:rsidRPr="007601D4">
        <w:rPr>
          <w:szCs w:val="24"/>
        </w:rPr>
        <w:t>mechanism into</w:t>
      </w:r>
      <w:r w:rsidR="00D77D0E" w:rsidRPr="007601D4">
        <w:rPr>
          <w:szCs w:val="24"/>
        </w:rPr>
        <w:t xml:space="preserve"> a </w:t>
      </w:r>
      <w:hyperlink r:id="rId36" w:history="1">
        <w:r w:rsidR="00D77D0E" w:rsidRPr="007601D4">
          <w:rPr>
            <w:rStyle w:val="Hyperlink"/>
            <w:b/>
            <w:bCs/>
            <w:szCs w:val="24"/>
          </w:rPr>
          <w:t>Security Governance Hub</w:t>
        </w:r>
      </w:hyperlink>
      <w:r w:rsidR="00D77D0E" w:rsidRPr="007601D4">
        <w:rPr>
          <w:szCs w:val="24"/>
        </w:rPr>
        <w:t xml:space="preserve"> enhanc</w:t>
      </w:r>
      <w:r w:rsidR="001C1E79" w:rsidRPr="007601D4">
        <w:rPr>
          <w:szCs w:val="24"/>
        </w:rPr>
        <w:t>ed</w:t>
      </w:r>
      <w:r w:rsidR="00D77D0E" w:rsidRPr="007601D4">
        <w:rPr>
          <w:szCs w:val="24"/>
        </w:rPr>
        <w:t xml:space="preserve"> </w:t>
      </w:r>
      <w:r w:rsidR="004A16A9" w:rsidRPr="007601D4">
        <w:rPr>
          <w:szCs w:val="24"/>
        </w:rPr>
        <w:t>EU–WB coordination</w:t>
      </w:r>
      <w:r w:rsidR="00CD4C3A" w:rsidRPr="007601D4">
        <w:rPr>
          <w:szCs w:val="24"/>
        </w:rPr>
        <w:t xml:space="preserve"> and </w:t>
      </w:r>
      <w:r w:rsidR="00CD4C3A" w:rsidRPr="007601D4">
        <w:rPr>
          <w:rFonts w:cs="Times New Roman"/>
          <w:szCs w:val="24"/>
        </w:rPr>
        <w:t>evidence-based policymaking</w:t>
      </w:r>
      <w:r w:rsidR="009F45DC" w:rsidRPr="007601D4">
        <w:rPr>
          <w:szCs w:val="24"/>
        </w:rPr>
        <w:t xml:space="preserve">. </w:t>
      </w:r>
      <w:r w:rsidR="00190534" w:rsidRPr="007601D4">
        <w:rPr>
          <w:rFonts w:eastAsia="Times New Roman" w:cs="Times New Roman"/>
          <w:szCs w:val="24"/>
        </w:rPr>
        <w:t xml:space="preserve">Collectively, these efforts demonstrate RCC’s dual impact in the security field: facilitating practical, high-level regional dialogue </w:t>
      </w:r>
      <w:r w:rsidR="000D559E" w:rsidRPr="007601D4">
        <w:rPr>
          <w:rFonts w:eastAsia="Times New Roman" w:cs="Times New Roman"/>
          <w:szCs w:val="24"/>
        </w:rPr>
        <w:t xml:space="preserve">through </w:t>
      </w:r>
      <w:r w:rsidR="000D559E" w:rsidRPr="007601D4">
        <w:rPr>
          <w:rFonts w:cs="Times New Roman"/>
          <w:szCs w:val="24"/>
        </w:rPr>
        <w:t xml:space="preserve">platforms such as </w:t>
      </w:r>
      <w:hyperlink r:id="rId37" w:history="1">
        <w:r w:rsidR="000D559E" w:rsidRPr="007601D4">
          <w:rPr>
            <w:rStyle w:val="Hyperlink"/>
            <w:rFonts w:cs="Times New Roman"/>
            <w:b/>
            <w:bCs/>
            <w:szCs w:val="24"/>
          </w:rPr>
          <w:t>JUMBO</w:t>
        </w:r>
      </w:hyperlink>
      <w:r w:rsidR="000D559E" w:rsidRPr="007601D4">
        <w:rPr>
          <w:rFonts w:cs="Times New Roman"/>
          <w:b/>
          <w:bCs/>
          <w:szCs w:val="24"/>
        </w:rPr>
        <w:t xml:space="preserve">, </w:t>
      </w:r>
      <w:hyperlink r:id="rId38" w:history="1">
        <w:r w:rsidR="000D559E" w:rsidRPr="007601D4">
          <w:rPr>
            <w:rStyle w:val="Hyperlink"/>
            <w:rFonts w:cs="Times New Roman"/>
            <w:b/>
            <w:bCs/>
            <w:szCs w:val="24"/>
          </w:rPr>
          <w:t>SEEMIC</w:t>
        </w:r>
      </w:hyperlink>
      <w:r w:rsidR="000D559E" w:rsidRPr="007601D4">
        <w:rPr>
          <w:rFonts w:cs="Times New Roman"/>
          <w:b/>
          <w:bCs/>
          <w:szCs w:val="24"/>
        </w:rPr>
        <w:t xml:space="preserve">, </w:t>
      </w:r>
      <w:r w:rsidR="000D559E" w:rsidRPr="007601D4">
        <w:rPr>
          <w:rFonts w:cs="Times New Roman"/>
          <w:szCs w:val="24"/>
        </w:rPr>
        <w:t xml:space="preserve">and </w:t>
      </w:r>
      <w:hyperlink r:id="rId39" w:history="1">
        <w:r w:rsidR="000D559E" w:rsidRPr="007601D4">
          <w:rPr>
            <w:rStyle w:val="Hyperlink"/>
            <w:rFonts w:cs="Times New Roman"/>
            <w:b/>
            <w:bCs/>
            <w:szCs w:val="24"/>
          </w:rPr>
          <w:t>SEENSA</w:t>
        </w:r>
      </w:hyperlink>
      <w:r w:rsidR="000D559E" w:rsidRPr="007601D4">
        <w:rPr>
          <w:rFonts w:cs="Times New Roman"/>
          <w:szCs w:val="24"/>
        </w:rPr>
        <w:t xml:space="preserve"> </w:t>
      </w:r>
      <w:r w:rsidR="00190534" w:rsidRPr="007601D4">
        <w:rPr>
          <w:rFonts w:eastAsia="Times New Roman" w:cs="Times New Roman"/>
          <w:szCs w:val="24"/>
        </w:rPr>
        <w:t>and producing rigorous analytical tools to guide policy, strengthen institutional alignment, and support WB6 security resilience and EU integration.</w:t>
      </w:r>
    </w:p>
    <w:p w14:paraId="7B3F0BFE" w14:textId="5B19B1D8" w:rsidR="00C158DA" w:rsidRPr="007601D4" w:rsidRDefault="00460F5D" w:rsidP="004C1EF6">
      <w:pPr>
        <w:pStyle w:val="ListParagraph"/>
        <w:spacing w:line="360" w:lineRule="auto"/>
        <w:ind w:left="0"/>
        <w:rPr>
          <w:szCs w:val="24"/>
        </w:rPr>
      </w:pPr>
      <w:r w:rsidRPr="007601D4">
        <w:rPr>
          <w:rFonts w:cs="Times New Roman"/>
          <w:szCs w:val="24"/>
        </w:rPr>
        <w:t xml:space="preserve">Beyond policy implementation the </w:t>
      </w:r>
      <w:r w:rsidR="00F05DA9" w:rsidRPr="007601D4">
        <w:rPr>
          <w:rFonts w:cs="Times New Roman"/>
          <w:szCs w:val="24"/>
        </w:rPr>
        <w:t>RCC</w:t>
      </w:r>
      <w:r w:rsidR="0050415B" w:rsidRPr="007601D4">
        <w:rPr>
          <w:rFonts w:cs="Times New Roman"/>
          <w:szCs w:val="24"/>
        </w:rPr>
        <w:t xml:space="preserve"> </w:t>
      </w:r>
      <w:r w:rsidRPr="007601D4">
        <w:rPr>
          <w:rFonts w:cs="Times New Roman"/>
          <w:szCs w:val="24"/>
        </w:rPr>
        <w:t xml:space="preserve">also </w:t>
      </w:r>
      <w:r w:rsidR="0050415B" w:rsidRPr="007601D4">
        <w:rPr>
          <w:rFonts w:cs="Times New Roman"/>
          <w:szCs w:val="24"/>
        </w:rPr>
        <w:t>developed trusted regional</w:t>
      </w:r>
      <w:r w:rsidR="00C158DA" w:rsidRPr="007601D4">
        <w:rPr>
          <w:rFonts w:cs="Times New Roman"/>
          <w:szCs w:val="24"/>
        </w:rPr>
        <w:t xml:space="preserve"> anal</w:t>
      </w:r>
      <w:r w:rsidR="00BB2776" w:rsidRPr="007601D4">
        <w:rPr>
          <w:rFonts w:cs="Times New Roman"/>
          <w:szCs w:val="24"/>
        </w:rPr>
        <w:t>y</w:t>
      </w:r>
      <w:r w:rsidR="00C158DA" w:rsidRPr="007601D4">
        <w:rPr>
          <w:rFonts w:cs="Times New Roman"/>
          <w:szCs w:val="24"/>
        </w:rPr>
        <w:t>tical</w:t>
      </w:r>
      <w:r w:rsidR="0050415B" w:rsidRPr="007601D4">
        <w:rPr>
          <w:rFonts w:cs="Times New Roman"/>
          <w:szCs w:val="24"/>
        </w:rPr>
        <w:t xml:space="preserve"> </w:t>
      </w:r>
      <w:r w:rsidR="00F05DA9" w:rsidRPr="007601D4">
        <w:rPr>
          <w:rFonts w:cs="Times New Roman"/>
          <w:szCs w:val="24"/>
        </w:rPr>
        <w:t>tools,</w:t>
      </w:r>
      <w:r w:rsidR="0050415B" w:rsidRPr="007601D4">
        <w:rPr>
          <w:rFonts w:cs="Times New Roman"/>
          <w:szCs w:val="24"/>
        </w:rPr>
        <w:t xml:space="preserve"> including the annual </w:t>
      </w:r>
      <w:hyperlink r:id="rId40" w:history="1">
        <w:r w:rsidR="0050415B" w:rsidRPr="007601D4">
          <w:rPr>
            <w:rStyle w:val="Hyperlink"/>
            <w:rFonts w:cs="Times New Roman"/>
            <w:b/>
            <w:bCs/>
            <w:szCs w:val="24"/>
          </w:rPr>
          <w:t>Balkan Barometer</w:t>
        </w:r>
      </w:hyperlink>
      <w:r w:rsidR="0050415B" w:rsidRPr="007601D4">
        <w:rPr>
          <w:rFonts w:cs="Times New Roman"/>
          <w:b/>
          <w:bCs/>
          <w:szCs w:val="24"/>
        </w:rPr>
        <w:t xml:space="preserve"> </w:t>
      </w:r>
      <w:r w:rsidR="0050415B" w:rsidRPr="007601D4">
        <w:rPr>
          <w:rFonts w:cs="Times New Roman"/>
          <w:szCs w:val="24"/>
        </w:rPr>
        <w:t xml:space="preserve">public and business opinion survey, </w:t>
      </w:r>
      <w:hyperlink r:id="rId41" w:history="1">
        <w:proofErr w:type="spellStart"/>
        <w:r w:rsidR="003C7E75" w:rsidRPr="007601D4">
          <w:rPr>
            <w:rStyle w:val="Hyperlink"/>
            <w:b/>
            <w:szCs w:val="24"/>
            <w:u w:val="none"/>
          </w:rPr>
          <w:t>SecuriMeter</w:t>
        </w:r>
        <w:proofErr w:type="spellEnd"/>
      </w:hyperlink>
      <w:r w:rsidR="003C7E75" w:rsidRPr="007601D4">
        <w:rPr>
          <w:rFonts w:cs="Times New Roman"/>
          <w:szCs w:val="24"/>
        </w:rPr>
        <w:t>,</w:t>
      </w:r>
      <w:r w:rsidR="0050415B" w:rsidRPr="007601D4">
        <w:rPr>
          <w:rFonts w:cs="Times New Roman"/>
          <w:szCs w:val="24"/>
        </w:rPr>
        <w:t xml:space="preserve"> </w:t>
      </w:r>
      <w:r w:rsidR="006419CE" w:rsidRPr="007601D4">
        <w:rPr>
          <w:b/>
          <w:bCs/>
          <w:szCs w:val="24"/>
        </w:rPr>
        <w:t>Butterfly Innovation Forum</w:t>
      </w:r>
      <w:r w:rsidR="0050415B" w:rsidRPr="007601D4">
        <w:rPr>
          <w:rFonts w:cs="Times New Roman"/>
          <w:szCs w:val="24"/>
        </w:rPr>
        <w:t xml:space="preserve"> and </w:t>
      </w:r>
      <w:hyperlink r:id="rId42" w:history="1">
        <w:r w:rsidR="00FB316D" w:rsidRPr="007601D4">
          <w:rPr>
            <w:rStyle w:val="Hyperlink"/>
            <w:b/>
            <w:bCs/>
            <w:szCs w:val="24"/>
            <w:u w:val="none"/>
          </w:rPr>
          <w:t>Employment Observatory</w:t>
        </w:r>
      </w:hyperlink>
      <w:r w:rsidR="00FB316D" w:rsidRPr="007601D4">
        <w:rPr>
          <w:b/>
          <w:bCs/>
          <w:szCs w:val="24"/>
        </w:rPr>
        <w:t xml:space="preserve">, </w:t>
      </w:r>
      <w:r w:rsidR="00C158DA" w:rsidRPr="007601D4">
        <w:rPr>
          <w:szCs w:val="24"/>
        </w:rPr>
        <w:t>providing evidence-based insights for policymaking and EU benchmarking.</w:t>
      </w:r>
    </w:p>
    <w:p w14:paraId="54283FC5" w14:textId="77777777" w:rsidR="004C1EF6" w:rsidRPr="007601D4" w:rsidRDefault="004C1EF6" w:rsidP="004C1EF6">
      <w:pPr>
        <w:pStyle w:val="ListParagraph"/>
        <w:spacing w:line="360" w:lineRule="auto"/>
        <w:ind w:left="0"/>
        <w:rPr>
          <w:szCs w:val="24"/>
        </w:rPr>
      </w:pPr>
    </w:p>
    <w:p w14:paraId="39A0B368" w14:textId="16FC1B5A" w:rsidR="00E036D1" w:rsidRPr="007601D4" w:rsidRDefault="00B31796" w:rsidP="004C1EF6">
      <w:pPr>
        <w:pStyle w:val="ListParagraph"/>
        <w:spacing w:line="360" w:lineRule="auto"/>
        <w:ind w:left="0"/>
        <w:rPr>
          <w:rFonts w:cs="Times New Roman"/>
          <w:szCs w:val="24"/>
        </w:rPr>
      </w:pPr>
      <w:r w:rsidRPr="007601D4">
        <w:rPr>
          <w:rFonts w:cs="Times New Roman"/>
          <w:szCs w:val="24"/>
        </w:rPr>
        <w:t>RCC’s outreach strategy significantly enhanced the visibility of flagship initiatives, CRM, GAWB, SEE2030, and gender and youth empowerment, through multimedia campaigns, public diplomacy, and high-level events. Digital engagement expanded substantially, reaching up to 10.9 million views across platforms and strengthening public interaction. The Brussels Liaison Office continued to serve as a key bridge with EU institutions, diplomatic missions, international organisations, and think</w:t>
      </w:r>
      <w:r w:rsidR="00A7155D" w:rsidRPr="007601D4">
        <w:rPr>
          <w:rFonts w:cs="Times New Roman"/>
          <w:szCs w:val="24"/>
        </w:rPr>
        <w:t>-</w:t>
      </w:r>
      <w:r w:rsidRPr="007601D4">
        <w:rPr>
          <w:rFonts w:cs="Times New Roman"/>
          <w:szCs w:val="24"/>
        </w:rPr>
        <w:t>tanks.</w:t>
      </w:r>
    </w:p>
    <w:p w14:paraId="6C49820C" w14:textId="29EC67E7" w:rsidR="00426F17" w:rsidRPr="007601D4" w:rsidRDefault="00396D9E" w:rsidP="004C1EF6">
      <w:pPr>
        <w:spacing w:line="360" w:lineRule="auto"/>
        <w:rPr>
          <w:rFonts w:eastAsia="Times New Roman" w:cs="Times New Roman"/>
          <w:szCs w:val="24"/>
        </w:rPr>
      </w:pPr>
      <w:r w:rsidRPr="007601D4">
        <w:rPr>
          <w:rFonts w:eastAsia="Times New Roman" w:cs="Times New Roman"/>
          <w:szCs w:val="24"/>
        </w:rPr>
        <w:t xml:space="preserve">The past reporting period was characterised by a decisive shift from strategy formulation to measurable implementation, with RCC-supported frameworks increasingly translating into tangible regional outcomes. Across policy domains, progress was marked not only by the adoption of key regional instruments, but by their operationalisation through monitoring systems, financial tools, and institutional mechanisms embedded at regional level. </w:t>
      </w:r>
      <w:r w:rsidR="00F40CDF" w:rsidRPr="007601D4">
        <w:rPr>
          <w:rFonts w:eastAsia="Times New Roman" w:cs="Times New Roman"/>
          <w:szCs w:val="24"/>
        </w:rPr>
        <w:t xml:space="preserve">Key </w:t>
      </w:r>
      <w:r w:rsidRPr="007601D4">
        <w:rPr>
          <w:rFonts w:eastAsia="Times New Roman" w:cs="Times New Roman"/>
          <w:szCs w:val="24"/>
        </w:rPr>
        <w:t>results included deeper financial integration through SEPA expansion, shared sustainability standards for investment and finance, strengthened Green Agenda</w:t>
      </w:r>
      <w:r w:rsidR="00523166" w:rsidRPr="007601D4">
        <w:rPr>
          <w:rFonts w:eastAsia="Times New Roman" w:cs="Times New Roman"/>
          <w:szCs w:val="24"/>
        </w:rPr>
        <w:t xml:space="preserve"> governance</w:t>
      </w:r>
      <w:r w:rsidRPr="007601D4">
        <w:rPr>
          <w:rFonts w:eastAsia="Times New Roman" w:cs="Times New Roman"/>
          <w:szCs w:val="24"/>
        </w:rPr>
        <w:t xml:space="preserve">, and </w:t>
      </w:r>
      <w:r w:rsidR="00793D2F" w:rsidRPr="007601D4">
        <w:rPr>
          <w:rFonts w:eastAsia="Times New Roman" w:cs="Times New Roman"/>
          <w:szCs w:val="24"/>
        </w:rPr>
        <w:t>expanded innovation</w:t>
      </w:r>
      <w:r w:rsidRPr="007601D4">
        <w:rPr>
          <w:rFonts w:eastAsia="Times New Roman" w:cs="Times New Roman"/>
          <w:szCs w:val="24"/>
        </w:rPr>
        <w:t xml:space="preserve"> and research linkages with EU programmes. </w:t>
      </w:r>
      <w:r w:rsidR="00DB6FA8" w:rsidRPr="007601D4">
        <w:rPr>
          <w:rFonts w:eastAsia="Times New Roman" w:cs="Times New Roman"/>
          <w:szCs w:val="24"/>
        </w:rPr>
        <w:t>D</w:t>
      </w:r>
      <w:r w:rsidRPr="007601D4">
        <w:rPr>
          <w:rFonts w:eastAsia="Times New Roman" w:cs="Times New Roman"/>
          <w:szCs w:val="24"/>
        </w:rPr>
        <w:t xml:space="preserve">igital, security, and labour market cooperation </w:t>
      </w:r>
      <w:r w:rsidR="00DB6FA8" w:rsidRPr="007601D4">
        <w:rPr>
          <w:rFonts w:eastAsia="Times New Roman" w:cs="Times New Roman"/>
          <w:szCs w:val="24"/>
        </w:rPr>
        <w:t>also advanced toward</w:t>
      </w:r>
      <w:r w:rsidR="00920F70">
        <w:rPr>
          <w:rFonts w:eastAsia="Times New Roman" w:cs="Times New Roman"/>
          <w:szCs w:val="24"/>
        </w:rPr>
        <w:t>s</w:t>
      </w:r>
      <w:r w:rsidR="00DB6FA8" w:rsidRPr="007601D4">
        <w:rPr>
          <w:rFonts w:eastAsia="Times New Roman" w:cs="Times New Roman"/>
          <w:szCs w:val="24"/>
        </w:rPr>
        <w:t xml:space="preserve"> greater interoperability and data-driven governance. Col</w:t>
      </w:r>
      <w:r w:rsidRPr="007601D4">
        <w:rPr>
          <w:rFonts w:eastAsia="Times New Roman" w:cs="Times New Roman"/>
          <w:szCs w:val="24"/>
        </w:rPr>
        <w:t>lectively, these developments demonstrate that the region is entering a more mature phase of integration</w:t>
      </w:r>
      <w:r w:rsidR="00DB6FA8" w:rsidRPr="007601D4">
        <w:rPr>
          <w:rFonts w:eastAsia="Times New Roman" w:cs="Times New Roman"/>
          <w:szCs w:val="24"/>
        </w:rPr>
        <w:t>,</w:t>
      </w:r>
      <w:r w:rsidR="008A3766" w:rsidRPr="007601D4">
        <w:rPr>
          <w:rFonts w:eastAsia="Times New Roman" w:cs="Times New Roman"/>
          <w:szCs w:val="24"/>
        </w:rPr>
        <w:t xml:space="preserve"> </w:t>
      </w:r>
      <w:r w:rsidRPr="007601D4">
        <w:rPr>
          <w:rFonts w:eastAsia="Times New Roman" w:cs="Times New Roman"/>
          <w:szCs w:val="24"/>
        </w:rPr>
        <w:t xml:space="preserve">where success is defined </w:t>
      </w:r>
      <w:r w:rsidR="004655F9" w:rsidRPr="007601D4">
        <w:rPr>
          <w:rFonts w:eastAsia="Times New Roman" w:cs="Times New Roman"/>
          <w:szCs w:val="24"/>
        </w:rPr>
        <w:t>less by policy alignment and more by delivery capacity</w:t>
      </w:r>
      <w:r w:rsidRPr="007601D4">
        <w:rPr>
          <w:rFonts w:eastAsia="Times New Roman" w:cs="Times New Roman"/>
          <w:szCs w:val="24"/>
        </w:rPr>
        <w:t xml:space="preserve">, institutional anchoring, and measurable socio-economic impact </w:t>
      </w:r>
      <w:r w:rsidR="00085D98" w:rsidRPr="007601D4">
        <w:rPr>
          <w:rFonts w:eastAsia="Times New Roman" w:cs="Times New Roman"/>
          <w:szCs w:val="24"/>
        </w:rPr>
        <w:t xml:space="preserve">in line </w:t>
      </w:r>
      <w:r w:rsidRPr="007601D4">
        <w:rPr>
          <w:rFonts w:eastAsia="Times New Roman" w:cs="Times New Roman"/>
          <w:szCs w:val="24"/>
        </w:rPr>
        <w:t>with EU convergence objective</w:t>
      </w:r>
      <w:r w:rsidR="00C34E2F" w:rsidRPr="007601D4">
        <w:rPr>
          <w:rFonts w:eastAsia="Times New Roman" w:cs="Times New Roman"/>
          <w:szCs w:val="24"/>
        </w:rPr>
        <w:t>.</w:t>
      </w:r>
      <w:r w:rsidR="00426F17" w:rsidRPr="007601D4">
        <w:rPr>
          <w:rFonts w:eastAsia="Times New Roman" w:cs="Times New Roman"/>
          <w:szCs w:val="24"/>
        </w:rPr>
        <w:t xml:space="preserve"> The period was characterised by coordination, evidence-based work, and a sustained effort to </w:t>
      </w:r>
      <w:r w:rsidR="00426F17" w:rsidRPr="007601D4">
        <w:rPr>
          <w:rFonts w:eastAsia="Times New Roman" w:cs="Times New Roman"/>
          <w:szCs w:val="24"/>
        </w:rPr>
        <w:lastRenderedPageBreak/>
        <w:t>reduce friction for citizens and businesses. The task ahead is to sustain momentum, deepen use of existing frameworks, and continue translating consensus into concrete results on the ground.</w:t>
      </w:r>
    </w:p>
    <w:p w14:paraId="58C1F527" w14:textId="4AC3C728" w:rsidR="00331AC4" w:rsidRPr="007601D4" w:rsidRDefault="002C4275" w:rsidP="0004382C">
      <w:pPr>
        <w:pStyle w:val="Heading1"/>
        <w:numPr>
          <w:ilvl w:val="0"/>
          <w:numId w:val="0"/>
        </w:numPr>
        <w:spacing w:line="360" w:lineRule="auto"/>
      </w:pPr>
      <w:bookmarkStart w:id="7" w:name="_Toc228451774"/>
      <w:r w:rsidRPr="007601D4">
        <w:t>Support to the Implementation</w:t>
      </w:r>
      <w:r w:rsidR="004C1F81" w:rsidRPr="007601D4">
        <w:t xml:space="preserve"> of Regional Programme</w:t>
      </w:r>
      <w:r w:rsidR="004C47D2" w:rsidRPr="007601D4">
        <w:t>s</w:t>
      </w:r>
      <w:bookmarkEnd w:id="7"/>
    </w:p>
    <w:p w14:paraId="63882FBE" w14:textId="77777777" w:rsidR="00790722" w:rsidRPr="007601D4" w:rsidRDefault="009F5E7E" w:rsidP="0004382C">
      <w:pPr>
        <w:pStyle w:val="Heading2"/>
        <w:spacing w:line="360" w:lineRule="auto"/>
      </w:pPr>
      <w:bookmarkStart w:id="8" w:name="_Toc228451775"/>
      <w:r w:rsidRPr="007601D4">
        <w:t xml:space="preserve">A. </w:t>
      </w:r>
      <w:r w:rsidR="000E16AB" w:rsidRPr="007601D4">
        <w:t>Western Balkan</w:t>
      </w:r>
      <w:r w:rsidR="00950B2F" w:rsidRPr="007601D4">
        <w:t>s</w:t>
      </w:r>
      <w:r w:rsidR="000E16AB" w:rsidRPr="007601D4">
        <w:t xml:space="preserve"> Common Regional Market (CRM)</w:t>
      </w:r>
      <w:bookmarkEnd w:id="8"/>
    </w:p>
    <w:p w14:paraId="7A9C7C30" w14:textId="77777777" w:rsidR="00BB3E41" w:rsidRPr="007601D4" w:rsidRDefault="009F5E7E" w:rsidP="0004382C">
      <w:pPr>
        <w:pStyle w:val="Heading3"/>
        <w:spacing w:line="360" w:lineRule="auto"/>
        <w:jc w:val="both"/>
      </w:pPr>
      <w:bookmarkStart w:id="9" w:name="_Toc228451776"/>
      <w:r w:rsidRPr="007601D4">
        <w:t xml:space="preserve">A1. </w:t>
      </w:r>
      <w:r w:rsidR="000E16AB" w:rsidRPr="007601D4">
        <w:t>Economic Competitiveness</w:t>
      </w:r>
      <w:bookmarkEnd w:id="9"/>
    </w:p>
    <w:p w14:paraId="56634FEE" w14:textId="77777777" w:rsidR="00E875BF" w:rsidRPr="007601D4" w:rsidRDefault="00E875BF" w:rsidP="0004382C">
      <w:pPr>
        <w:spacing w:line="360" w:lineRule="auto"/>
        <w:rPr>
          <w:rFonts w:eastAsiaTheme="majorEastAsia" w:cstheme="majorBidi"/>
          <w:i/>
          <w:color w:val="2E74B5" w:themeColor="accent1" w:themeShade="BF"/>
          <w:sz w:val="28"/>
          <w:szCs w:val="24"/>
        </w:rPr>
      </w:pPr>
      <w:r w:rsidRPr="007601D4">
        <w:rPr>
          <w:rFonts w:eastAsiaTheme="majorEastAsia" w:cstheme="majorBidi"/>
          <w:i/>
          <w:color w:val="2E74B5" w:themeColor="accent1" w:themeShade="BF"/>
          <w:sz w:val="28"/>
          <w:szCs w:val="24"/>
        </w:rPr>
        <w:t xml:space="preserve">A1.1. Investments and Financial Markets </w:t>
      </w:r>
    </w:p>
    <w:p w14:paraId="776C40A0" w14:textId="5619748C" w:rsidR="00C222FE" w:rsidRPr="007601D4" w:rsidRDefault="00C222FE" w:rsidP="0004382C">
      <w:pPr>
        <w:pStyle w:val="NormalWeb"/>
        <w:spacing w:before="120" w:beforeAutospacing="0" w:after="240" w:afterAutospacing="0" w:line="360" w:lineRule="auto"/>
        <w:jc w:val="both"/>
        <w:rPr>
          <w:lang w:val="en-GB"/>
        </w:rPr>
      </w:pPr>
      <w:r w:rsidRPr="007601D4">
        <w:rPr>
          <w:lang w:val="en-GB"/>
        </w:rPr>
        <w:t xml:space="preserve">Notable progress was made in advancing regional investment policy, promotion, and facilitation across the WB6 during the reporting period. A key milestone was the endorsement of the </w:t>
      </w:r>
      <w:hyperlink r:id="rId43" w:history="1">
        <w:r w:rsidRPr="007601D4">
          <w:rPr>
            <w:rStyle w:val="Hyperlink"/>
            <w:b/>
            <w:lang w:val="en-GB"/>
          </w:rPr>
          <w:t>Recommendation on Sustainable Foreign Direct Investment in the WB6</w:t>
        </w:r>
      </w:hyperlink>
      <w:r w:rsidRPr="007601D4">
        <w:rPr>
          <w:b/>
          <w:lang w:val="en-GB"/>
        </w:rPr>
        <w:t xml:space="preserve"> </w:t>
      </w:r>
      <w:r w:rsidRPr="007601D4">
        <w:rPr>
          <w:lang w:val="en-GB"/>
        </w:rPr>
        <w:t xml:space="preserve">and the </w:t>
      </w:r>
      <w:hyperlink r:id="rId44" w:history="1">
        <w:r w:rsidRPr="007601D4">
          <w:rPr>
            <w:rStyle w:val="Hyperlink"/>
            <w:b/>
            <w:lang w:val="en-GB"/>
          </w:rPr>
          <w:t>Regional Model Clauses on Sustainability</w:t>
        </w:r>
      </w:hyperlink>
      <w:r w:rsidRPr="007601D4">
        <w:rPr>
          <w:lang w:val="en-GB"/>
        </w:rPr>
        <w:t xml:space="preserve"> under the Berlin Process in October 2025. These measures aim to enhance the region’s attractiveness to quality FDI and maximi</w:t>
      </w:r>
      <w:r w:rsidR="007601D4" w:rsidRPr="007601D4">
        <w:rPr>
          <w:lang w:val="en-GB"/>
        </w:rPr>
        <w:t>s</w:t>
      </w:r>
      <w:r w:rsidRPr="007601D4">
        <w:rPr>
          <w:lang w:val="en-GB"/>
        </w:rPr>
        <w:t xml:space="preserve">e its contribution to sustainable development. Their implementation is supported by the accompanying </w:t>
      </w:r>
      <w:hyperlink r:id="rId45" w:history="1">
        <w:r w:rsidRPr="007601D4">
          <w:rPr>
            <w:rStyle w:val="Hyperlink"/>
            <w:b/>
            <w:lang w:val="en-GB"/>
          </w:rPr>
          <w:t>Sustainable FDI Policy Toolkit</w:t>
        </w:r>
        <w:r w:rsidRPr="007601D4">
          <w:rPr>
            <w:rStyle w:val="Hyperlink"/>
            <w:lang w:val="en-GB"/>
          </w:rPr>
          <w:t>,</w:t>
        </w:r>
      </w:hyperlink>
      <w:r w:rsidRPr="007601D4">
        <w:rPr>
          <w:lang w:val="en-GB"/>
        </w:rPr>
        <w:t xml:space="preserve"> a practical instrument for implementation. Additionally, the WB6 agreed on the </w:t>
      </w:r>
      <w:hyperlink r:id="rId46" w:history="1">
        <w:r w:rsidRPr="007601D4">
          <w:rPr>
            <w:rStyle w:val="Hyperlink"/>
            <w:b/>
            <w:lang w:val="en-GB"/>
          </w:rPr>
          <w:t>Joint Principles for Investment Facilitation</w:t>
        </w:r>
      </w:hyperlink>
      <w:r w:rsidRPr="007601D4">
        <w:rPr>
          <w:lang w:val="en-GB"/>
        </w:rPr>
        <w:t>, marking the first regionally agreed framework for streamlining procedures, enhancing transparency, and reducing investment barriers.</w:t>
      </w:r>
    </w:p>
    <w:p w14:paraId="0EF81EE8" w14:textId="1CD56E21" w:rsidR="00C222FE" w:rsidRPr="007601D4" w:rsidRDefault="00C222FE" w:rsidP="0004382C">
      <w:pPr>
        <w:pStyle w:val="NormalWeb"/>
        <w:spacing w:before="120" w:beforeAutospacing="0" w:after="240" w:afterAutospacing="0" w:line="360" w:lineRule="auto"/>
        <w:jc w:val="both"/>
        <w:rPr>
          <w:lang w:val="en-GB"/>
        </w:rPr>
      </w:pPr>
      <w:r w:rsidRPr="007601D4">
        <w:rPr>
          <w:lang w:val="en-GB"/>
        </w:rPr>
        <w:t xml:space="preserve">Building on these achievements, initial drafts of the </w:t>
      </w:r>
      <w:r w:rsidRPr="007601D4">
        <w:rPr>
          <w:b/>
          <w:bCs/>
          <w:lang w:val="en-GB"/>
        </w:rPr>
        <w:t>WB6 Investment Facilitation Roadmap and the Regional Green Investment Standards,</w:t>
      </w:r>
      <w:r w:rsidRPr="007601D4">
        <w:rPr>
          <w:lang w:val="en-GB"/>
        </w:rPr>
        <w:t xml:space="preserve"> both stemming from CRM 2, have been prepared and are currently under technical review within the Joint Working Group on Investments (JWGI). The former is intended to operationali</w:t>
      </w:r>
      <w:r w:rsidR="007601D4" w:rsidRPr="007601D4">
        <w:rPr>
          <w:lang w:val="en-GB"/>
        </w:rPr>
        <w:t>s</w:t>
      </w:r>
      <w:r w:rsidRPr="007601D4">
        <w:rPr>
          <w:lang w:val="en-GB"/>
        </w:rPr>
        <w:t>e the endorsed Joint Principles and define a clear pathway for investment facilitation, while the latter sets a regional benchmark for effective and fiscally responsible green investment incentives.</w:t>
      </w:r>
    </w:p>
    <w:p w14:paraId="5FC66998" w14:textId="578CAD5E" w:rsidR="00C222FE" w:rsidRPr="007601D4" w:rsidRDefault="00C222FE" w:rsidP="0004382C">
      <w:pPr>
        <w:pStyle w:val="NormalWeb"/>
        <w:spacing w:before="120" w:beforeAutospacing="0" w:after="240" w:afterAutospacing="0" w:line="360" w:lineRule="auto"/>
        <w:jc w:val="both"/>
        <w:rPr>
          <w:lang w:val="en-GB"/>
        </w:rPr>
      </w:pPr>
      <w:r w:rsidRPr="007601D4">
        <w:rPr>
          <w:lang w:val="en-GB"/>
        </w:rPr>
        <w:t>In terms of investment promotion, Investment Promotion Agencies (IPAs), with the support of the RCC</w:t>
      </w:r>
      <w:r w:rsidR="007049A6" w:rsidRPr="007601D4">
        <w:rPr>
          <w:lang w:val="en-GB"/>
        </w:rPr>
        <w:t xml:space="preserve"> and the World Bank</w:t>
      </w:r>
      <w:r w:rsidRPr="007601D4">
        <w:rPr>
          <w:lang w:val="en-GB"/>
        </w:rPr>
        <w:t>, conducted another round of successful investor lead generation campaigns. In addition, the RCC supported the UK Department for Business and Trade in organi</w:t>
      </w:r>
      <w:r w:rsidR="007601D4">
        <w:rPr>
          <w:lang w:val="en-GB"/>
        </w:rPr>
        <w:t>s</w:t>
      </w:r>
      <w:r w:rsidRPr="007601D4">
        <w:rPr>
          <w:lang w:val="en-GB"/>
        </w:rPr>
        <w:t xml:space="preserve">ing the Berlin Process Business Forum, held on 16 October in London, and the EU Western Balkans Investment Forum, held on 13-14 October in Tirana. These promotional </w:t>
      </w:r>
      <w:r w:rsidRPr="007601D4">
        <w:rPr>
          <w:lang w:val="en-GB"/>
        </w:rPr>
        <w:lastRenderedPageBreak/>
        <w:t>efforts are contributing towards the target of attracting EUR 300 million worth of FDI within the timeframe of CRM 2.</w:t>
      </w:r>
    </w:p>
    <w:p w14:paraId="59CDD8B7" w14:textId="767BF1B8" w:rsidR="00C222FE" w:rsidRPr="007601D4" w:rsidRDefault="00C222FE" w:rsidP="0004382C">
      <w:pPr>
        <w:pStyle w:val="NormalWeb"/>
        <w:spacing w:before="120" w:beforeAutospacing="0" w:after="240" w:afterAutospacing="0" w:line="360" w:lineRule="auto"/>
        <w:jc w:val="both"/>
        <w:rPr>
          <w:lang w:val="en-GB"/>
        </w:rPr>
      </w:pPr>
      <w:r w:rsidRPr="007601D4">
        <w:rPr>
          <w:lang w:val="en-GB"/>
        </w:rPr>
        <w:t xml:space="preserve">Another major milestone was the endorsement of the Whitelist of the </w:t>
      </w:r>
      <w:hyperlink r:id="rId47" w:history="1">
        <w:r w:rsidRPr="007601D4">
          <w:rPr>
            <w:rStyle w:val="Hyperlink"/>
            <w:b/>
            <w:lang w:val="en-GB"/>
          </w:rPr>
          <w:t>Sustainable Finance Taxonomy for the WB6</w:t>
        </w:r>
      </w:hyperlink>
      <w:r w:rsidRPr="007601D4">
        <w:rPr>
          <w:lang w:val="en-GB"/>
        </w:rPr>
        <w:t xml:space="preserve"> and the </w:t>
      </w:r>
      <w:hyperlink r:id="rId48" w:history="1">
        <w:r w:rsidRPr="007601D4">
          <w:rPr>
            <w:rStyle w:val="Hyperlink"/>
            <w:b/>
            <w:lang w:val="en-GB"/>
          </w:rPr>
          <w:t>WB6 Green Bond Standard</w:t>
        </w:r>
      </w:hyperlink>
      <w:r w:rsidRPr="007601D4">
        <w:rPr>
          <w:lang w:val="en-GB"/>
        </w:rPr>
        <w:t xml:space="preserve"> under the Berlin Process. These tools are central to mobili</w:t>
      </w:r>
      <w:r w:rsidR="007601D4">
        <w:rPr>
          <w:lang w:val="en-GB"/>
        </w:rPr>
        <w:t>s</w:t>
      </w:r>
      <w:r w:rsidRPr="007601D4">
        <w:rPr>
          <w:lang w:val="en-GB"/>
        </w:rPr>
        <w:t xml:space="preserve">ing finance for the green transition and advancing sustainability goals in the region. In addition, the </w:t>
      </w:r>
      <w:hyperlink r:id="rId49" w:history="1">
        <w:r w:rsidRPr="007601D4">
          <w:rPr>
            <w:rStyle w:val="Hyperlink"/>
            <w:b/>
            <w:lang w:val="en-GB"/>
          </w:rPr>
          <w:t>Regional Financial Literacy Framework</w:t>
        </w:r>
      </w:hyperlink>
      <w:r w:rsidRPr="007601D4">
        <w:rPr>
          <w:lang w:val="en-GB"/>
        </w:rPr>
        <w:t xml:space="preserve"> for Individuals was endorsed, encouraging the implementation of a common basis for strengthening financial education, </w:t>
      </w:r>
      <w:r w:rsidR="007C3E0D" w:rsidRPr="007601D4">
        <w:rPr>
          <w:lang w:val="en-GB"/>
        </w:rPr>
        <w:t>including</w:t>
      </w:r>
      <w:r w:rsidRPr="007601D4">
        <w:rPr>
          <w:lang w:val="en-GB"/>
        </w:rPr>
        <w:t xml:space="preserve"> sustainable finance. Meanwhile, an initial draft of the Regional Financial Literacy Framework for Businesses has been prepared and is under technical review within the remit of the Working Group on Financial Markets (WGFM).</w:t>
      </w:r>
    </w:p>
    <w:p w14:paraId="48FFBEEB" w14:textId="77777777" w:rsidR="00C222FE" w:rsidRPr="007601D4" w:rsidRDefault="00C222FE" w:rsidP="0004382C">
      <w:pPr>
        <w:pStyle w:val="NormalWeb"/>
        <w:spacing w:before="120" w:beforeAutospacing="0" w:after="240" w:afterAutospacing="0" w:line="360" w:lineRule="auto"/>
        <w:jc w:val="both"/>
        <w:rPr>
          <w:lang w:val="en-GB"/>
        </w:rPr>
      </w:pPr>
      <w:r w:rsidRPr="007601D4">
        <w:rPr>
          <w:lang w:val="en-GB"/>
        </w:rPr>
        <w:t>Significant progress was also achieved in advancing regional financial integration. During the reporting period, Albania, Montenegro, North Macedonia, Moldova, and Serbia became fully operational in SEPA, with the first transactions executed, marking a major step towards faster and more cost-effective intra-regional payments, as well as deeper integration with the wider SEPA area.</w:t>
      </w:r>
    </w:p>
    <w:p w14:paraId="5FF3069E" w14:textId="77777777" w:rsidR="00F431C5" w:rsidRPr="007601D4" w:rsidRDefault="001C1D50" w:rsidP="0004382C">
      <w:pPr>
        <w:pStyle w:val="Heading3"/>
        <w:spacing w:line="360" w:lineRule="auto"/>
        <w:ind w:firstLine="720"/>
        <w:jc w:val="both"/>
      </w:pPr>
      <w:bookmarkStart w:id="10" w:name="_Toc133825134"/>
      <w:bookmarkStart w:id="11" w:name="_Toc228451777"/>
      <w:r w:rsidRPr="007601D4">
        <w:t>A1.2. Industrial Development</w:t>
      </w:r>
      <w:bookmarkEnd w:id="10"/>
      <w:r w:rsidRPr="007601D4">
        <w:t xml:space="preserve"> </w:t>
      </w:r>
      <w:r w:rsidR="00F431C5" w:rsidRPr="007601D4">
        <w:t>and Sustainable Tourism</w:t>
      </w:r>
      <w:bookmarkEnd w:id="11"/>
    </w:p>
    <w:p w14:paraId="2024AD4C" w14:textId="0098E019" w:rsidR="005F28EF" w:rsidRPr="007601D4" w:rsidRDefault="000C535E" w:rsidP="0004382C">
      <w:pPr>
        <w:pStyle w:val="NormalWeb"/>
        <w:spacing w:before="120" w:beforeAutospacing="0" w:after="240" w:afterAutospacing="0" w:line="360" w:lineRule="auto"/>
        <w:jc w:val="both"/>
        <w:rPr>
          <w:lang w:val="en-GB"/>
        </w:rPr>
      </w:pPr>
      <w:r w:rsidRPr="00FF7D52">
        <w:rPr>
          <w:lang w:val="en-GB"/>
        </w:rPr>
        <w:t>During the reporting period, notable</w:t>
      </w:r>
      <w:r w:rsidRPr="007601D4">
        <w:rPr>
          <w:lang w:val="en-GB"/>
        </w:rPr>
        <w:t xml:space="preserve"> progress was achieved in transforming green industries in the WB6. A key milestone was the adoption of the </w:t>
      </w:r>
      <w:hyperlink r:id="rId50" w:history="1">
        <w:r w:rsidRPr="007601D4">
          <w:rPr>
            <w:rStyle w:val="Hyperlink"/>
            <w:b/>
            <w:lang w:val="en-GB"/>
          </w:rPr>
          <w:t>Joint Statement on Regional Green Public Procurement Criteria</w:t>
        </w:r>
      </w:hyperlink>
      <w:r w:rsidRPr="007601D4">
        <w:rPr>
          <w:lang w:val="en-GB"/>
        </w:rPr>
        <w:t xml:space="preserve">, under the Berlin Process, establishing a regional framework for the development of green public procurement criteria in the region and calling for the gradual alignment with EU directives and the voluntary use of green criteria, as a means for public institutions in the WB6 to choose goods, services and works responsibly and with a lower environmental impact throughout their life cycle. In a region where public procurement accounts for an average of 10% of GDP, adopting green practices paves the way for a greener economy and sustainable growth. </w:t>
      </w:r>
    </w:p>
    <w:p w14:paraId="4E27C955" w14:textId="5253BC9D" w:rsidR="001F1AF3" w:rsidRPr="007601D4" w:rsidRDefault="001F1AF3" w:rsidP="0004382C">
      <w:pPr>
        <w:pStyle w:val="NormalWeb"/>
        <w:spacing w:before="120" w:beforeAutospacing="0" w:after="240" w:afterAutospacing="0" w:line="360" w:lineRule="auto"/>
        <w:jc w:val="both"/>
        <w:rPr>
          <w:lang w:val="en-GB"/>
        </w:rPr>
      </w:pPr>
      <w:r w:rsidRPr="007601D4">
        <w:rPr>
          <w:lang w:val="en-GB"/>
        </w:rPr>
        <w:t xml:space="preserve">Further in line with the CRM 2 activities for green industries, work under industrial development activities continued from </w:t>
      </w:r>
      <w:r w:rsidRPr="007601D4">
        <w:rPr>
          <w:b/>
          <w:bCs/>
          <w:lang w:val="en-GB"/>
        </w:rPr>
        <w:t xml:space="preserve">Green Public Procurement (GPP) to Eco-industrial </w:t>
      </w:r>
      <w:r w:rsidR="00E968C0">
        <w:rPr>
          <w:b/>
          <w:bCs/>
          <w:lang w:val="en-GB"/>
        </w:rPr>
        <w:t>P</w:t>
      </w:r>
      <w:r w:rsidRPr="007601D4">
        <w:rPr>
          <w:b/>
          <w:bCs/>
          <w:lang w:val="en-GB"/>
        </w:rPr>
        <w:t>arks (EIPs)</w:t>
      </w:r>
      <w:r w:rsidRPr="007601D4">
        <w:rPr>
          <w:lang w:val="en-GB"/>
        </w:rPr>
        <w:t xml:space="preserve"> </w:t>
      </w:r>
      <w:r w:rsidR="00D231A6" w:rsidRPr="007601D4">
        <w:rPr>
          <w:lang w:val="en-GB"/>
        </w:rPr>
        <w:t>to</w:t>
      </w:r>
      <w:r w:rsidRPr="007601D4">
        <w:rPr>
          <w:lang w:val="en-GB"/>
        </w:rPr>
        <w:t xml:space="preserve"> advanc</w:t>
      </w:r>
      <w:r w:rsidR="00AB745B" w:rsidRPr="007601D4">
        <w:rPr>
          <w:lang w:val="en-GB"/>
        </w:rPr>
        <w:t>e</w:t>
      </w:r>
      <w:r w:rsidRPr="007601D4">
        <w:rPr>
          <w:lang w:val="en-GB"/>
        </w:rPr>
        <w:t xml:space="preserve"> green industrial transformation and strengthen green industries. The RCC commissioned a regional situational assessment of the EIPs to identify potential </w:t>
      </w:r>
      <w:r w:rsidR="00C76B57" w:rsidRPr="007601D4">
        <w:rPr>
          <w:lang w:val="en-GB"/>
        </w:rPr>
        <w:t>gaps and</w:t>
      </w:r>
      <w:r w:rsidRPr="007601D4">
        <w:rPr>
          <w:lang w:val="en-GB"/>
        </w:rPr>
        <w:t xml:space="preserve"> align with internationally recogni</w:t>
      </w:r>
      <w:r w:rsidR="007601D4">
        <w:rPr>
          <w:lang w:val="en-GB"/>
        </w:rPr>
        <w:t>s</w:t>
      </w:r>
      <w:r w:rsidRPr="007601D4">
        <w:rPr>
          <w:lang w:val="en-GB"/>
        </w:rPr>
        <w:t xml:space="preserve">ed standards. Based on these findings, RCC is engaging with </w:t>
      </w:r>
      <w:r w:rsidRPr="007601D4">
        <w:rPr>
          <w:lang w:val="en-GB"/>
        </w:rPr>
        <w:lastRenderedPageBreak/>
        <w:t>the Working Group on Industrial Development (WGID) to develop and adopt a roadmap for EIP development, aligned with good practices and tailored to existing regional capacities.  In addition, RCC is facilitating cooperation between WB6 and EU industrial parks. This includes engagement with successful EU park models to promote innovative business approaches, adoption of modern technologies, improved market access, and stronger integration of WB6 companies into regional and global value chains.</w:t>
      </w:r>
    </w:p>
    <w:p w14:paraId="33A47BBC" w14:textId="58ADEA8A" w:rsidR="000C535E" w:rsidRPr="007601D4" w:rsidRDefault="000C535E" w:rsidP="0004382C">
      <w:pPr>
        <w:pStyle w:val="NormalWeb"/>
        <w:spacing w:before="120" w:beforeAutospacing="0" w:after="240" w:afterAutospacing="0" w:line="360" w:lineRule="auto"/>
        <w:jc w:val="both"/>
        <w:rPr>
          <w:lang w:val="en-GB"/>
        </w:rPr>
      </w:pPr>
      <w:r w:rsidRPr="007601D4">
        <w:rPr>
          <w:lang w:val="en-GB"/>
        </w:rPr>
        <w:t xml:space="preserve">Further during the reporting period, RCC developed a Sectoral Policy Toolkit in collaboration with the region, </w:t>
      </w:r>
      <w:r w:rsidR="006A1F40">
        <w:rPr>
          <w:lang w:val="en-GB"/>
        </w:rPr>
        <w:t xml:space="preserve">and </w:t>
      </w:r>
      <w:r w:rsidR="002353E9">
        <w:rPr>
          <w:lang w:val="en-GB"/>
        </w:rPr>
        <w:t xml:space="preserve">in </w:t>
      </w:r>
      <w:r w:rsidRPr="007601D4">
        <w:rPr>
          <w:lang w:val="en-GB"/>
        </w:rPr>
        <w:t>consult</w:t>
      </w:r>
      <w:r w:rsidR="002353E9">
        <w:rPr>
          <w:lang w:val="en-GB"/>
        </w:rPr>
        <w:t>ation</w:t>
      </w:r>
      <w:r w:rsidRPr="007601D4">
        <w:rPr>
          <w:lang w:val="en-GB"/>
        </w:rPr>
        <w:t xml:space="preserve"> </w:t>
      </w:r>
      <w:r w:rsidR="000856B0" w:rsidRPr="007601D4">
        <w:rPr>
          <w:lang w:val="en-GB"/>
        </w:rPr>
        <w:t xml:space="preserve">with and </w:t>
      </w:r>
      <w:r w:rsidRPr="007601D4">
        <w:rPr>
          <w:lang w:val="en-GB"/>
        </w:rPr>
        <w:t xml:space="preserve">supported by the WGID to identify and select priority sectors </w:t>
      </w:r>
      <w:r w:rsidR="00C76B57" w:rsidRPr="007601D4">
        <w:rPr>
          <w:lang w:val="en-GB"/>
        </w:rPr>
        <w:t>and</w:t>
      </w:r>
      <w:r w:rsidRPr="007601D4">
        <w:rPr>
          <w:lang w:val="en-GB"/>
        </w:rPr>
        <w:t xml:space="preserve"> support modalities and intervention tools, </w:t>
      </w:r>
      <w:r w:rsidR="000856B0" w:rsidRPr="007601D4">
        <w:rPr>
          <w:lang w:val="en-GB"/>
        </w:rPr>
        <w:t>considering</w:t>
      </w:r>
      <w:r w:rsidRPr="007601D4">
        <w:rPr>
          <w:lang w:val="en-GB"/>
        </w:rPr>
        <w:t xml:space="preserve"> the challenges of a green and digital transition.</w:t>
      </w:r>
    </w:p>
    <w:p w14:paraId="482BB489" w14:textId="774B07FF" w:rsidR="000C535E" w:rsidRPr="007601D4" w:rsidRDefault="000C535E" w:rsidP="0004382C">
      <w:pPr>
        <w:pStyle w:val="NormalWeb"/>
        <w:spacing w:before="120" w:beforeAutospacing="0" w:after="240" w:afterAutospacing="0" w:line="360" w:lineRule="auto"/>
        <w:jc w:val="both"/>
        <w:rPr>
          <w:lang w:val="en-GB"/>
        </w:rPr>
      </w:pPr>
      <w:r w:rsidRPr="007601D4">
        <w:rPr>
          <w:lang w:val="en-GB"/>
        </w:rPr>
        <w:t xml:space="preserve">In the area of </w:t>
      </w:r>
      <w:r w:rsidRPr="007601D4">
        <w:rPr>
          <w:b/>
          <w:bCs/>
          <w:lang w:val="en-GB"/>
        </w:rPr>
        <w:t>Sustainable Tourism</w:t>
      </w:r>
      <w:r w:rsidRPr="007601D4">
        <w:rPr>
          <w:lang w:val="en-GB"/>
        </w:rPr>
        <w:t>, the reporting period was marked by the finali</w:t>
      </w:r>
      <w:r w:rsidR="007601D4" w:rsidRPr="007601D4">
        <w:rPr>
          <w:lang w:val="en-GB"/>
        </w:rPr>
        <w:t>s</w:t>
      </w:r>
      <w:r w:rsidRPr="007601D4">
        <w:rPr>
          <w:lang w:val="en-GB"/>
        </w:rPr>
        <w:t>ation of a comprehensive package of three strategic documents under the Tourism Expert Group (TEG)</w:t>
      </w:r>
      <w:r w:rsidR="007228FC" w:rsidRPr="007601D4">
        <w:rPr>
          <w:lang w:val="en-GB"/>
        </w:rPr>
        <w:t xml:space="preserve"> in September/October 2025</w:t>
      </w:r>
      <w:r w:rsidRPr="007601D4">
        <w:rPr>
          <w:lang w:val="en-GB"/>
        </w:rPr>
        <w:t xml:space="preserve">: the </w:t>
      </w:r>
      <w:r w:rsidRPr="007601D4">
        <w:rPr>
          <w:b/>
          <w:bCs/>
          <w:lang w:val="en-GB"/>
        </w:rPr>
        <w:t>Enhancing the Regional Tourism Brand in the WB6 roadmap</w:t>
      </w:r>
      <w:r w:rsidRPr="007601D4">
        <w:rPr>
          <w:lang w:val="en-GB"/>
        </w:rPr>
        <w:t xml:space="preserve">, which included a proposed </w:t>
      </w:r>
      <w:r w:rsidRPr="007601D4">
        <w:rPr>
          <w:b/>
          <w:bCs/>
          <w:lang w:val="en-GB"/>
        </w:rPr>
        <w:t>Declaration on Western Balkans Six Tourism Branding; the Smart Tourism in the WB6 framework,</w:t>
      </w:r>
      <w:r w:rsidRPr="007601D4">
        <w:rPr>
          <w:lang w:val="en-GB"/>
        </w:rPr>
        <w:t xml:space="preserve"> featuring designated pilot locations across the region to support the digital and sustainable transformation of tourism services; and </w:t>
      </w:r>
      <w:r w:rsidRPr="007601D4">
        <w:rPr>
          <w:b/>
          <w:bCs/>
          <w:lang w:val="en-GB"/>
        </w:rPr>
        <w:t>the Digital Nomads Criteria</w:t>
      </w:r>
      <w:r w:rsidRPr="007601D4">
        <w:rPr>
          <w:lang w:val="en-GB"/>
        </w:rPr>
        <w:t xml:space="preserve"> at the regional level, providing a harmoni</w:t>
      </w:r>
      <w:r w:rsidR="007601D4">
        <w:rPr>
          <w:lang w:val="en-GB"/>
        </w:rPr>
        <w:t>s</w:t>
      </w:r>
      <w:r w:rsidRPr="007601D4">
        <w:rPr>
          <w:lang w:val="en-GB"/>
        </w:rPr>
        <w:t>ed set of standards to position the WB6 as a competitive destination for remote workers, a fast-growing and high-value segment increasingly targeted by leading European destinations.</w:t>
      </w:r>
    </w:p>
    <w:p w14:paraId="4FB9D26C" w14:textId="46AB1E94" w:rsidR="000C535E" w:rsidRPr="007601D4" w:rsidRDefault="000C535E" w:rsidP="0004382C">
      <w:pPr>
        <w:pStyle w:val="NormalWeb"/>
        <w:spacing w:before="120" w:beforeAutospacing="0" w:after="240" w:afterAutospacing="0" w:line="360" w:lineRule="auto"/>
        <w:jc w:val="both"/>
        <w:rPr>
          <w:lang w:val="en-GB"/>
        </w:rPr>
      </w:pPr>
      <w:r w:rsidRPr="007601D4">
        <w:rPr>
          <w:lang w:val="en-GB"/>
        </w:rPr>
        <w:t xml:space="preserve">The political commitment to this agenda was firmly established through the endorsement of the </w:t>
      </w:r>
      <w:hyperlink r:id="rId51" w:history="1">
        <w:r w:rsidRPr="007601D4">
          <w:rPr>
            <w:rStyle w:val="Hyperlink"/>
            <w:b/>
            <w:lang w:val="en-GB"/>
          </w:rPr>
          <w:t>Declaration on Western Balkans Six Tourism Branding</w:t>
        </w:r>
      </w:hyperlink>
      <w:r w:rsidRPr="007601D4">
        <w:rPr>
          <w:lang w:val="en-GB"/>
        </w:rPr>
        <w:t xml:space="preserve"> under the Berlin Process. Building on this high-level endorsement, the implementation phase commenced, laying the critical groundwork for the establishment of the Regional Tourism Fund. This transition from strategic planning to implementation creates a structured pipeline for targeted investments, ensuring that regional branding efforts are supported by sustainable financial mechanisms and concrete capacity-building initiatives in line with the shared objectives of the Common Regional Market</w:t>
      </w:r>
      <w:r w:rsidR="008A7665" w:rsidRPr="007601D4">
        <w:rPr>
          <w:lang w:val="en-GB"/>
        </w:rPr>
        <w:t xml:space="preserve"> (CRM)</w:t>
      </w:r>
      <w:r w:rsidRPr="007601D4">
        <w:rPr>
          <w:lang w:val="en-GB"/>
        </w:rPr>
        <w:t>.</w:t>
      </w:r>
    </w:p>
    <w:p w14:paraId="67B97502" w14:textId="77777777" w:rsidR="001C1D50" w:rsidRPr="007601D4" w:rsidRDefault="001C1D50" w:rsidP="0004382C">
      <w:pPr>
        <w:pStyle w:val="Heading2"/>
        <w:spacing w:line="360" w:lineRule="auto"/>
        <w:jc w:val="both"/>
      </w:pPr>
      <w:bookmarkStart w:id="12" w:name="_Toc133825136"/>
      <w:bookmarkStart w:id="13" w:name="_Toc228451778"/>
      <w:r w:rsidRPr="007601D4">
        <w:lastRenderedPageBreak/>
        <w:t>A2. Human Capital Development</w:t>
      </w:r>
      <w:bookmarkEnd w:id="12"/>
      <w:bookmarkEnd w:id="13"/>
      <w:r w:rsidRPr="007601D4">
        <w:t xml:space="preserve"> </w:t>
      </w:r>
    </w:p>
    <w:p w14:paraId="50CACB9B" w14:textId="59122F7F" w:rsidR="00CA7D33" w:rsidRPr="007601D4" w:rsidRDefault="001C1D50" w:rsidP="0004382C">
      <w:pPr>
        <w:pStyle w:val="Heading3"/>
        <w:spacing w:line="360" w:lineRule="auto"/>
        <w:ind w:firstLine="720"/>
        <w:jc w:val="both"/>
      </w:pPr>
      <w:bookmarkStart w:id="14" w:name="_Toc133825137"/>
      <w:bookmarkStart w:id="15" w:name="_Toc228451779"/>
      <w:r w:rsidRPr="007601D4">
        <w:t>A2.1. Research and Innovation Area</w:t>
      </w:r>
      <w:bookmarkEnd w:id="14"/>
      <w:bookmarkEnd w:id="15"/>
    </w:p>
    <w:p w14:paraId="2D18E232" w14:textId="743C4FE4" w:rsidR="002E31F1" w:rsidRPr="007601D4" w:rsidRDefault="00F10D50" w:rsidP="0004382C">
      <w:pPr>
        <w:spacing w:line="360" w:lineRule="auto"/>
      </w:pPr>
      <w:r w:rsidRPr="007601D4">
        <w:t>WB6 have significantly increased their engagement in the</w:t>
      </w:r>
      <w:r w:rsidRPr="007601D4">
        <w:rPr>
          <w:b/>
          <w:bCs/>
        </w:rPr>
        <w:t xml:space="preserve"> Horizon Europe </w:t>
      </w:r>
      <w:r w:rsidRPr="007601D4">
        <w:t xml:space="preserve">programme contributing to scientific excellence and Europe-wide networking. Halfway through the programme, the region effectively </w:t>
      </w:r>
      <w:r w:rsidR="004B0007">
        <w:t>grew</w:t>
      </w:r>
      <w:r w:rsidRPr="007601D4">
        <w:t xml:space="preserve"> performance to EUR 180</w:t>
      </w:r>
      <w:r w:rsidR="00760102">
        <w:t>.</w:t>
      </w:r>
      <w:r w:rsidRPr="007601D4">
        <w:t xml:space="preserve">4 million compared to the previous </w:t>
      </w:r>
      <w:r w:rsidR="00194997" w:rsidRPr="007601D4">
        <w:t xml:space="preserve">EUR 171.4 million </w:t>
      </w:r>
      <w:r w:rsidRPr="007601D4">
        <w:t>Framework Programme</w:t>
      </w:r>
      <w:r w:rsidR="00194997" w:rsidRPr="007601D4">
        <w:t xml:space="preserve"> obtained under </w:t>
      </w:r>
      <w:r w:rsidRPr="007601D4">
        <w:t>Horizon 2020. The strongest performing fields are Pillar II</w:t>
      </w:r>
      <w:r w:rsidR="00127364" w:rsidRPr="007601D4">
        <w:t>,</w:t>
      </w:r>
      <w:r w:rsidRPr="007601D4">
        <w:t xml:space="preserve"> with</w:t>
      </w:r>
      <w:r w:rsidR="00127364" w:rsidRPr="007601D4">
        <w:t xml:space="preserve"> more than</w:t>
      </w:r>
      <w:r w:rsidRPr="007601D4">
        <w:t xml:space="preserve"> 400 </w:t>
      </w:r>
      <w:r w:rsidR="00127364" w:rsidRPr="007601D4">
        <w:t>g</w:t>
      </w:r>
      <w:r w:rsidRPr="007601D4">
        <w:t>rants</w:t>
      </w:r>
      <w:r w:rsidR="00127364" w:rsidRPr="007601D4">
        <w:t xml:space="preserve"> awarded</w:t>
      </w:r>
      <w:r w:rsidRPr="007601D4">
        <w:t>, followed by Agri-Food (170+ Grants</w:t>
      </w:r>
      <w:r w:rsidR="0049021C" w:rsidRPr="007601D4">
        <w:t>)</w:t>
      </w:r>
      <w:r w:rsidRPr="007601D4">
        <w:t xml:space="preserve">, Climate, Energy, Mobility </w:t>
      </w:r>
      <w:r w:rsidR="0049021C" w:rsidRPr="007601D4">
        <w:t>(</w:t>
      </w:r>
      <w:r w:rsidRPr="007601D4">
        <w:t>84 Grants</w:t>
      </w:r>
      <w:r w:rsidR="0049021C" w:rsidRPr="007601D4">
        <w:t>)</w:t>
      </w:r>
      <w:r w:rsidRPr="007601D4">
        <w:t xml:space="preserve">, and Digital &amp; Industry </w:t>
      </w:r>
      <w:r w:rsidR="0049021C" w:rsidRPr="007601D4">
        <w:t>(</w:t>
      </w:r>
      <w:r w:rsidRPr="007601D4">
        <w:t>58 Grants</w:t>
      </w:r>
      <w:r w:rsidR="0049021C" w:rsidRPr="007601D4">
        <w:t>)</w:t>
      </w:r>
      <w:r w:rsidRPr="007601D4">
        <w:t>. The WB6 ha</w:t>
      </w:r>
      <w:r w:rsidR="00100A59">
        <w:t>ve</w:t>
      </w:r>
      <w:r w:rsidR="000D76D0" w:rsidRPr="007601D4">
        <w:t xml:space="preserve"> also experienced</w:t>
      </w:r>
      <w:r w:rsidRPr="007601D4">
        <w:t xml:space="preserve"> </w:t>
      </w:r>
      <w:r w:rsidR="000D76D0" w:rsidRPr="007601D4">
        <w:t xml:space="preserve">growing </w:t>
      </w:r>
      <w:r w:rsidRPr="007601D4">
        <w:rPr>
          <w:rFonts w:eastAsia="Times New Roman"/>
          <w:szCs w:val="24"/>
        </w:rPr>
        <w:t>academia-industry cooperation, emergence of digital innovation hubs, science and technology parks, and advancements in artificial intelligence</w:t>
      </w:r>
      <w:r w:rsidR="00D42D67" w:rsidRPr="007601D4">
        <w:rPr>
          <w:rFonts w:eastAsia="Times New Roman"/>
          <w:szCs w:val="24"/>
        </w:rPr>
        <w:t xml:space="preserve">. Notably, </w:t>
      </w:r>
      <w:r w:rsidRPr="007601D4">
        <w:rPr>
          <w:rFonts w:eastAsia="Times New Roman"/>
          <w:szCs w:val="24"/>
        </w:rPr>
        <w:t>two AI Factor</w:t>
      </w:r>
      <w:r w:rsidR="00B5770F">
        <w:rPr>
          <w:rFonts w:eastAsia="Times New Roman"/>
          <w:szCs w:val="24"/>
        </w:rPr>
        <w:t>y</w:t>
      </w:r>
      <w:r w:rsidRPr="007601D4">
        <w:rPr>
          <w:rFonts w:eastAsia="Times New Roman"/>
          <w:szCs w:val="24"/>
        </w:rPr>
        <w:t xml:space="preserve"> Antennas</w:t>
      </w:r>
      <w:r w:rsidR="00D42D67" w:rsidRPr="007601D4">
        <w:rPr>
          <w:rFonts w:eastAsia="Times New Roman"/>
          <w:szCs w:val="24"/>
        </w:rPr>
        <w:t xml:space="preserve"> have been established </w:t>
      </w:r>
      <w:r w:rsidRPr="007601D4">
        <w:t xml:space="preserve">in Serbia and North Macedonia, </w:t>
      </w:r>
      <w:r w:rsidR="00947F86" w:rsidRPr="007601D4">
        <w:t xml:space="preserve">providing companies </w:t>
      </w:r>
      <w:r w:rsidR="00194997" w:rsidRPr="007601D4">
        <w:t>with access</w:t>
      </w:r>
      <w:r w:rsidRPr="007601D4">
        <w:t xml:space="preserve"> to Europe's artificial intelligence infrastructure</w:t>
      </w:r>
      <w:r w:rsidRPr="007601D4">
        <w:rPr>
          <w:rFonts w:eastAsia="Times New Roman"/>
          <w:szCs w:val="24"/>
        </w:rPr>
        <w:t xml:space="preserve">. </w:t>
      </w:r>
      <w:r w:rsidR="000869DF" w:rsidRPr="007601D4">
        <w:rPr>
          <w:rFonts w:eastAsia="Times New Roman"/>
          <w:szCs w:val="24"/>
        </w:rPr>
        <w:t xml:space="preserve">In parallel, </w:t>
      </w:r>
      <w:hyperlink r:id="rId52" w:history="1">
        <w:r w:rsidR="00194997" w:rsidRPr="007601D4">
          <w:rPr>
            <w:rStyle w:val="Hyperlink"/>
            <w:b/>
            <w:bCs/>
            <w:color w:val="0563C1"/>
          </w:rPr>
          <w:t>Smart Specialisation Strategies</w:t>
        </w:r>
      </w:hyperlink>
      <w:r w:rsidRPr="007601D4">
        <w:t xml:space="preserve"> </w:t>
      </w:r>
      <w:r w:rsidR="000869DF" w:rsidRPr="007601D4">
        <w:t xml:space="preserve">are </w:t>
      </w:r>
      <w:r w:rsidR="002228A6" w:rsidRPr="007601D4">
        <w:t xml:space="preserve">laying </w:t>
      </w:r>
      <w:r w:rsidRPr="007601D4">
        <w:t>a solid foundation for the priorit</w:t>
      </w:r>
      <w:r w:rsidR="00686F2E" w:rsidRPr="007601D4">
        <w:t>ised</w:t>
      </w:r>
      <w:r w:rsidRPr="007601D4">
        <w:t xml:space="preserve"> and targeted investments in research and innovation.</w:t>
      </w:r>
      <w:r w:rsidR="00E70D29" w:rsidRPr="007601D4">
        <w:t xml:space="preserve"> </w:t>
      </w:r>
      <w:r w:rsidR="002E31F1" w:rsidRPr="007601D4">
        <w:t>According to the 2025 European Innovation Scoreboard, the WB6 are classified as Emerging Innovators</w:t>
      </w:r>
      <w:r w:rsidR="002E31F1" w:rsidRPr="007601D4">
        <w:rPr>
          <w:rStyle w:val="FootnoteReference"/>
          <w:sz w:val="24"/>
        </w:rPr>
        <w:footnoteReference w:id="5"/>
      </w:r>
      <w:r w:rsidR="002E31F1" w:rsidRPr="007601D4">
        <w:t>. Despite all WB6 remaining below 70% of the EU average, sustained growth since 2018 indicates clear momentum toward</w:t>
      </w:r>
      <w:r w:rsidR="00920F70">
        <w:t>s</w:t>
      </w:r>
      <w:r w:rsidR="002E31F1" w:rsidRPr="007601D4">
        <w:t xml:space="preserve"> stronger regional innovation capacity.</w:t>
      </w:r>
    </w:p>
    <w:p w14:paraId="49B4B370" w14:textId="59D9932C" w:rsidR="00D77D15" w:rsidRPr="007601D4" w:rsidRDefault="0036173F" w:rsidP="0004382C">
      <w:pPr>
        <w:spacing w:line="360" w:lineRule="auto"/>
      </w:pPr>
      <w:r w:rsidRPr="007601D4">
        <w:t xml:space="preserve">The RCC continued supporting </w:t>
      </w:r>
      <w:hyperlink r:id="rId53" w:history="1">
        <w:r w:rsidRPr="007601D4">
          <w:rPr>
            <w:rStyle w:val="Hyperlink"/>
            <w:b/>
          </w:rPr>
          <w:t>Digital Innovation Hubs (DIHs)</w:t>
        </w:r>
      </w:hyperlink>
      <w:r w:rsidRPr="007601D4">
        <w:t xml:space="preserve"> through its </w:t>
      </w:r>
      <w:proofErr w:type="spellStart"/>
      <w:r w:rsidRPr="007601D4">
        <w:rPr>
          <w:rStyle w:val="Strong"/>
        </w:rPr>
        <w:t>NextHub</w:t>
      </w:r>
      <w:proofErr w:type="spellEnd"/>
      <w:r w:rsidRPr="007601D4">
        <w:rPr>
          <w:rStyle w:val="Strong"/>
        </w:rPr>
        <w:t xml:space="preserve"> Programme</w:t>
      </w:r>
      <w:r w:rsidRPr="007601D4">
        <w:t xml:space="preserve">, running until </w:t>
      </w:r>
      <w:r w:rsidR="0095437D" w:rsidRPr="007601D4">
        <w:t xml:space="preserve">summer </w:t>
      </w:r>
      <w:r w:rsidRPr="007601D4">
        <w:t xml:space="preserve">2026. </w:t>
      </w:r>
      <w:r w:rsidR="00346956" w:rsidRPr="007601D4">
        <w:t xml:space="preserve">The </w:t>
      </w:r>
      <w:proofErr w:type="spellStart"/>
      <w:r w:rsidRPr="007601D4">
        <w:t>NextHub</w:t>
      </w:r>
      <w:r w:rsidR="00D3117D" w:rsidRPr="007601D4">
        <w:t>’s</w:t>
      </w:r>
      <w:proofErr w:type="spellEnd"/>
      <w:r w:rsidR="00D3117D" w:rsidRPr="007601D4">
        <w:t xml:space="preserve"> </w:t>
      </w:r>
      <w:r w:rsidR="00D3117D" w:rsidRPr="007601D4">
        <w:rPr>
          <w:rFonts w:cs="Times New Roman"/>
          <w:szCs w:val="24"/>
        </w:rPr>
        <w:t xml:space="preserve">focus is on </w:t>
      </w:r>
      <w:r w:rsidR="00D3117D" w:rsidRPr="007601D4">
        <w:rPr>
          <w:rFonts w:eastAsia="Times New Roman" w:cs="Times New Roman"/>
          <w:szCs w:val="24"/>
        </w:rPr>
        <w:t xml:space="preserve">assisting DIHs collaborative efforts towards the preparation of joint project proposals for funding and capacity-building schemes offered by the EU. </w:t>
      </w:r>
      <w:r w:rsidR="007054D6" w:rsidRPr="007601D4">
        <w:rPr>
          <w:rFonts w:eastAsia="Times New Roman" w:cs="Times New Roman"/>
          <w:szCs w:val="24"/>
        </w:rPr>
        <w:t xml:space="preserve">Apart from regional networking and trainings offered to DIHs, the previous two iterations of the Programme enabled the participating DIHs to </w:t>
      </w:r>
      <w:r w:rsidR="007054D6" w:rsidRPr="007601D4">
        <w:rPr>
          <w:rFonts w:eastAsia="Times New Roman" w:cs="Times New Roman"/>
          <w:bCs/>
          <w:szCs w:val="24"/>
        </w:rPr>
        <w:t xml:space="preserve">attract more than </w:t>
      </w:r>
      <w:r w:rsidR="007054D6" w:rsidRPr="007601D4">
        <w:rPr>
          <w:rStyle w:val="Strong"/>
        </w:rPr>
        <w:t>€</w:t>
      </w:r>
      <w:r w:rsidR="007054D6" w:rsidRPr="007601D4">
        <w:rPr>
          <w:rFonts w:eastAsia="Times New Roman" w:cs="Times New Roman"/>
          <w:bCs/>
          <w:szCs w:val="24"/>
        </w:rPr>
        <w:t>9 million</w:t>
      </w:r>
      <w:r w:rsidR="007054D6" w:rsidRPr="007601D4">
        <w:rPr>
          <w:rFonts w:eastAsia="Times New Roman" w:cs="Times New Roman"/>
          <w:szCs w:val="24"/>
        </w:rPr>
        <w:t xml:space="preserve"> through </w:t>
      </w:r>
      <w:r w:rsidR="007054D6" w:rsidRPr="007601D4">
        <w:rPr>
          <w:rFonts w:eastAsia="Times New Roman" w:cs="Times New Roman"/>
          <w:b/>
          <w:bCs/>
          <w:szCs w:val="24"/>
        </w:rPr>
        <w:t>Horizon Europe</w:t>
      </w:r>
      <w:r w:rsidR="007054D6" w:rsidRPr="007601D4">
        <w:rPr>
          <w:rFonts w:eastAsia="Times New Roman" w:cs="Times New Roman"/>
          <w:szCs w:val="24"/>
        </w:rPr>
        <w:t xml:space="preserve"> and </w:t>
      </w:r>
      <w:r w:rsidR="007054D6" w:rsidRPr="007601D4">
        <w:rPr>
          <w:rFonts w:eastAsia="Times New Roman" w:cs="Times New Roman"/>
          <w:b/>
          <w:bCs/>
          <w:szCs w:val="24"/>
        </w:rPr>
        <w:t>Digital Europe</w:t>
      </w:r>
      <w:r w:rsidR="007054D6" w:rsidRPr="007601D4">
        <w:rPr>
          <w:rFonts w:eastAsia="Times New Roman" w:cs="Times New Roman"/>
          <w:szCs w:val="24"/>
        </w:rPr>
        <w:t xml:space="preserve"> (DEP) programmes, including both EU and matching funds. Some of the initial </w:t>
      </w:r>
      <w:proofErr w:type="spellStart"/>
      <w:r w:rsidR="007054D6" w:rsidRPr="007601D4">
        <w:rPr>
          <w:rFonts w:eastAsia="Times New Roman" w:cs="Times New Roman"/>
          <w:szCs w:val="24"/>
        </w:rPr>
        <w:t>NexHub</w:t>
      </w:r>
      <w:proofErr w:type="spellEnd"/>
      <w:r w:rsidR="007054D6" w:rsidRPr="007601D4">
        <w:rPr>
          <w:rFonts w:eastAsia="Times New Roman" w:cs="Times New Roman"/>
          <w:szCs w:val="24"/>
        </w:rPr>
        <w:t xml:space="preserve"> partner organisations have evolved into </w:t>
      </w:r>
      <w:r w:rsidR="007054D6" w:rsidRPr="007601D4">
        <w:rPr>
          <w:rFonts w:eastAsia="Times New Roman" w:cs="Times New Roman"/>
          <w:b/>
          <w:bCs/>
          <w:szCs w:val="24"/>
        </w:rPr>
        <w:t>European Digital Innovation Hubs</w:t>
      </w:r>
      <w:r w:rsidR="007054D6" w:rsidRPr="007601D4">
        <w:rPr>
          <w:rFonts w:eastAsia="Times New Roman" w:cs="Times New Roman"/>
          <w:szCs w:val="24"/>
        </w:rPr>
        <w:t>, in total 11 across the WB6</w:t>
      </w:r>
      <w:r w:rsidR="002F4DD6" w:rsidRPr="007601D4">
        <w:rPr>
          <w:rFonts w:eastAsia="Times New Roman" w:cs="Times New Roman"/>
          <w:szCs w:val="24"/>
        </w:rPr>
        <w:t>,</w:t>
      </w:r>
      <w:r w:rsidR="000A1109" w:rsidRPr="007601D4">
        <w:rPr>
          <w:rFonts w:eastAsia="Times New Roman" w:cs="Times New Roman"/>
          <w:szCs w:val="24"/>
        </w:rPr>
        <w:t xml:space="preserve"> </w:t>
      </w:r>
      <w:r w:rsidR="000A1109" w:rsidRPr="007601D4">
        <w:t>further reinforcing the region’s innovation ecosystem.</w:t>
      </w:r>
      <w:r w:rsidR="00D77D15" w:rsidRPr="007601D4">
        <w:t xml:space="preserve"> </w:t>
      </w:r>
    </w:p>
    <w:p w14:paraId="68179BD3" w14:textId="66574F0D" w:rsidR="00A25C6C" w:rsidRPr="007601D4" w:rsidRDefault="00F10D50" w:rsidP="0004382C">
      <w:pPr>
        <w:spacing w:line="360" w:lineRule="auto"/>
        <w:rPr>
          <w:rStyle w:val="Emphasis"/>
          <w:rFonts w:cs="Times New Roman"/>
          <w:szCs w:val="24"/>
        </w:rPr>
      </w:pPr>
      <w:r w:rsidRPr="007601D4">
        <w:rPr>
          <w:rFonts w:cs="Times New Roman"/>
          <w:szCs w:val="24"/>
        </w:rPr>
        <w:lastRenderedPageBreak/>
        <w:t xml:space="preserve">As a practical follow-up to the RCC’s brokered </w:t>
      </w:r>
      <w:hyperlink r:id="rId54" w:history="1">
        <w:r w:rsidR="003740E1" w:rsidRPr="007601D4">
          <w:rPr>
            <w:rStyle w:val="Hyperlink"/>
            <w:rFonts w:cs="Times New Roman"/>
            <w:b/>
            <w:bCs/>
            <w:szCs w:val="24"/>
          </w:rPr>
          <w:t>Declaration on Research and Innovation Infrastructure Access and Collaboration</w:t>
        </w:r>
      </w:hyperlink>
      <w:r w:rsidR="003740E1" w:rsidRPr="007601D4">
        <w:rPr>
          <w:rStyle w:val="Emphasis"/>
          <w:rFonts w:cs="Times New Roman"/>
          <w:b/>
          <w:bCs/>
          <w:szCs w:val="24"/>
        </w:rPr>
        <w:t xml:space="preserve"> </w:t>
      </w:r>
      <w:r w:rsidR="00D602D4">
        <w:rPr>
          <w:rStyle w:val="Emphasis"/>
          <w:rFonts w:cs="Times New Roman"/>
          <w:i w:val="0"/>
          <w:iCs w:val="0"/>
          <w:szCs w:val="24"/>
        </w:rPr>
        <w:t xml:space="preserve">signed </w:t>
      </w:r>
      <w:r w:rsidR="003740E1" w:rsidRPr="007601D4">
        <w:rPr>
          <w:rStyle w:val="Emphasis"/>
          <w:rFonts w:cs="Times New Roman"/>
          <w:i w:val="0"/>
          <w:szCs w:val="24"/>
        </w:rPr>
        <w:t>at the</w:t>
      </w:r>
      <w:r w:rsidR="00EA6C35">
        <w:rPr>
          <w:rStyle w:val="Emphasis"/>
          <w:rFonts w:cs="Times New Roman"/>
          <w:i w:val="0"/>
          <w:szCs w:val="24"/>
        </w:rPr>
        <w:t xml:space="preserve"> </w:t>
      </w:r>
      <w:r w:rsidR="00733919" w:rsidRPr="007601D4">
        <w:rPr>
          <w:rStyle w:val="Emphasis"/>
          <w:rFonts w:cs="Times New Roman"/>
          <w:i w:val="0"/>
          <w:szCs w:val="24"/>
        </w:rPr>
        <w:t>10</w:t>
      </w:r>
      <w:r w:rsidR="00733919" w:rsidRPr="007601D4">
        <w:rPr>
          <w:rStyle w:val="Emphasis"/>
          <w:rFonts w:cs="Times New Roman"/>
          <w:i w:val="0"/>
          <w:szCs w:val="24"/>
          <w:vertAlign w:val="superscript"/>
        </w:rPr>
        <w:t>th</w:t>
      </w:r>
      <w:r w:rsidR="00733919" w:rsidRPr="007601D4">
        <w:rPr>
          <w:rStyle w:val="Emphasis"/>
          <w:rFonts w:cs="Times New Roman"/>
          <w:i w:val="0"/>
          <w:szCs w:val="24"/>
        </w:rPr>
        <w:t xml:space="preserve"> </w:t>
      </w:r>
      <w:r w:rsidR="003740E1" w:rsidRPr="007601D4">
        <w:rPr>
          <w:rStyle w:val="Emphasis"/>
          <w:rFonts w:cs="Times New Roman"/>
          <w:i w:val="0"/>
          <w:szCs w:val="24"/>
        </w:rPr>
        <w:t xml:space="preserve">Berlin Process Summit in 2024 </w:t>
      </w:r>
      <w:r w:rsidRPr="007601D4">
        <w:rPr>
          <w:rStyle w:val="Emphasis"/>
          <w:rFonts w:cs="Times New Roman"/>
          <w:i w:val="0"/>
          <w:iCs w:val="0"/>
          <w:szCs w:val="24"/>
        </w:rPr>
        <w:t>a</w:t>
      </w:r>
      <w:r w:rsidR="0037629A" w:rsidRPr="007601D4">
        <w:rPr>
          <w:rStyle w:val="Emphasis"/>
          <w:rFonts w:cs="Times New Roman"/>
          <w:i w:val="0"/>
          <w:iCs w:val="0"/>
          <w:szCs w:val="24"/>
        </w:rPr>
        <w:t xml:space="preserve"> beta version of </w:t>
      </w:r>
      <w:hyperlink r:id="rId55" w:history="1">
        <w:r w:rsidR="00A25C6C" w:rsidRPr="007601D4">
          <w:rPr>
            <w:rStyle w:val="Hyperlink"/>
            <w:rFonts w:cs="Times New Roman"/>
            <w:b/>
            <w:szCs w:val="24"/>
          </w:rPr>
          <w:t>R</w:t>
        </w:r>
        <w:r w:rsidR="00A25C6C" w:rsidRPr="007601D4">
          <w:rPr>
            <w:rStyle w:val="Hyperlink"/>
            <w:rFonts w:cs="Times New Roman"/>
            <w:b/>
            <w:bCs/>
          </w:rPr>
          <w:t>egional Online Matchmaking Platform for Research &amp; Innovation Infrastructures</w:t>
        </w:r>
      </w:hyperlink>
      <w:r w:rsidR="00A25C6C" w:rsidRPr="007601D4">
        <w:t xml:space="preserve"> </w:t>
      </w:r>
      <w:r w:rsidRPr="007601D4">
        <w:rPr>
          <w:rStyle w:val="Emphasis"/>
          <w:rFonts w:cs="Times New Roman"/>
          <w:i w:val="0"/>
          <w:iCs w:val="0"/>
          <w:szCs w:val="24"/>
        </w:rPr>
        <w:t>has been</w:t>
      </w:r>
      <w:r w:rsidRPr="007601D4">
        <w:rPr>
          <w:rStyle w:val="Emphasis"/>
          <w:rFonts w:cs="Times New Roman"/>
          <w:szCs w:val="24"/>
        </w:rPr>
        <w:t xml:space="preserve"> </w:t>
      </w:r>
      <w:r w:rsidRPr="007601D4">
        <w:rPr>
          <w:rStyle w:val="Strong"/>
          <w:rFonts w:cs="Times New Roman"/>
          <w:b w:val="0"/>
          <w:bCs w:val="0"/>
        </w:rPr>
        <w:t>developed.</w:t>
      </w:r>
      <w:r w:rsidRPr="007601D4">
        <w:rPr>
          <w:rStyle w:val="Strong"/>
          <w:rFonts w:cs="Times New Roman"/>
        </w:rPr>
        <w:t xml:space="preserve"> </w:t>
      </w:r>
      <w:r w:rsidRPr="007601D4">
        <w:rPr>
          <w:rStyle w:val="Strong"/>
          <w:rFonts w:cs="Times New Roman"/>
          <w:b w:val="0"/>
          <w:bCs w:val="0"/>
        </w:rPr>
        <w:t>Several regional focus group sessions and preliminary demonstrations of the Platform have been organised to gather valuable feedback from the RCC’s partners</w:t>
      </w:r>
      <w:r w:rsidR="00CA489A" w:rsidRPr="007601D4">
        <w:rPr>
          <w:rStyle w:val="Strong"/>
          <w:rFonts w:cs="Times New Roman"/>
          <w:b w:val="0"/>
          <w:bCs w:val="0"/>
        </w:rPr>
        <w:t xml:space="preserve"> including </w:t>
      </w:r>
      <w:r w:rsidRPr="007601D4">
        <w:rPr>
          <w:rStyle w:val="Strong"/>
          <w:rFonts w:cs="Times New Roman"/>
          <w:b w:val="0"/>
          <w:bCs w:val="0"/>
        </w:rPr>
        <w:t>universities, research institutes, DIHs, business associations</w:t>
      </w:r>
      <w:r w:rsidR="00CA489A" w:rsidRPr="007601D4">
        <w:rPr>
          <w:rStyle w:val="Strong"/>
          <w:rFonts w:cs="Times New Roman"/>
          <w:b w:val="0"/>
          <w:bCs w:val="0"/>
        </w:rPr>
        <w:t>, etc.</w:t>
      </w:r>
      <w:r w:rsidRPr="007601D4">
        <w:rPr>
          <w:rStyle w:val="Strong"/>
          <w:rFonts w:cs="Times New Roman"/>
          <w:b w:val="0"/>
          <w:bCs w:val="0"/>
        </w:rPr>
        <w:t xml:space="preserve"> The</w:t>
      </w:r>
      <w:r w:rsidRPr="007601D4">
        <w:rPr>
          <w:rStyle w:val="Strong"/>
          <w:rFonts w:cs="Times New Roman"/>
        </w:rPr>
        <w:t xml:space="preserve"> </w:t>
      </w:r>
      <w:r w:rsidRPr="007601D4">
        <w:rPr>
          <w:rFonts w:cs="Times New Roman"/>
        </w:rPr>
        <w:t>Platform will be officially launched by the end of 2026 to facilitate structured interactions and data-driven connections</w:t>
      </w:r>
      <w:r w:rsidR="00FC36FE" w:rsidRPr="007601D4">
        <w:rPr>
          <w:rFonts w:cs="Times New Roman"/>
        </w:rPr>
        <w:t>.</w:t>
      </w:r>
    </w:p>
    <w:p w14:paraId="3E9C3A00" w14:textId="3C9DA368" w:rsidR="00626820" w:rsidRPr="007601D4" w:rsidRDefault="00F10D50" w:rsidP="0004382C">
      <w:pPr>
        <w:spacing w:line="360" w:lineRule="auto"/>
        <w:rPr>
          <w:rFonts w:cs="Times New Roman"/>
        </w:rPr>
      </w:pPr>
      <w:r w:rsidRPr="007601D4">
        <w:t xml:space="preserve">The RCC advanced the </w:t>
      </w:r>
      <w:r w:rsidRPr="007601D4">
        <w:rPr>
          <w:rStyle w:val="Strong"/>
        </w:rPr>
        <w:t>Strengthening Regional Smart Specialisation Ecosystems Initiative</w:t>
      </w:r>
      <w:r w:rsidRPr="007601D4">
        <w:t xml:space="preserve"> by introducing targeted technical assistance to enhance the institutional capacity of Smart Specialisation Strategy (S3) teams, enabling stronger EU project proposals, improved knowledge transfer, and deeper inter-regional collaboration. The RCC’s Regional S3 Initiative technical assistance programme, developed in direct response to priorities identified earlier, was designed to strengthen regional capacities, enhance skills, and provide practical guidance on fundraising strategies. The end goal is to empower regional S3 teams to mobilise resources more effectively and ensure the long-term sustainability of their projects. Two regional workshops</w:t>
      </w:r>
      <w:r w:rsidR="00A96D95">
        <w:t>,</w:t>
      </w:r>
      <w:r w:rsidRPr="007601D4">
        <w:t xml:space="preserve"> </w:t>
      </w:r>
      <w:r w:rsidR="00C65023" w:rsidRPr="007601D4">
        <w:t xml:space="preserve">on 2 July in Tirana and </w:t>
      </w:r>
      <w:r w:rsidR="00A96D95">
        <w:t>on</w:t>
      </w:r>
      <w:r w:rsidR="00A96D95" w:rsidRPr="007601D4">
        <w:t xml:space="preserve"> </w:t>
      </w:r>
      <w:r w:rsidR="00626820" w:rsidRPr="007601D4">
        <w:t>16-17 December 2025 in Ljubljana</w:t>
      </w:r>
      <w:r w:rsidR="00180183">
        <w:t>,</w:t>
      </w:r>
      <w:r w:rsidR="00C65023" w:rsidRPr="007601D4">
        <w:t xml:space="preserve"> </w:t>
      </w:r>
      <w:r w:rsidRPr="007601D4">
        <w:t xml:space="preserve">facilitated knowledge exchange and </w:t>
      </w:r>
      <w:r w:rsidR="0098006A" w:rsidRPr="007601D4">
        <w:t>provided practical insights from Slovenia’s S3</w:t>
      </w:r>
      <w:r w:rsidRPr="007601D4">
        <w:t>, including discussions on the challenges and successes of its strategic documents.</w:t>
      </w:r>
      <w:r w:rsidRPr="007601D4">
        <w:rPr>
          <w:rFonts w:cs="Times New Roman"/>
        </w:rPr>
        <w:t xml:space="preserve"> </w:t>
      </w:r>
      <w:r w:rsidR="00CE437A" w:rsidRPr="007601D4">
        <w:rPr>
          <w:rFonts w:cs="Times New Roman"/>
        </w:rPr>
        <w:t xml:space="preserve">The Tirana workshop streamlined regional initiatives that support the implementation of shared S3 priorities, </w:t>
      </w:r>
      <w:r w:rsidR="009A0D66">
        <w:rPr>
          <w:rFonts w:cs="Times New Roman"/>
        </w:rPr>
        <w:t xml:space="preserve">and </w:t>
      </w:r>
      <w:r w:rsidR="00CE437A" w:rsidRPr="007601D4">
        <w:rPr>
          <w:rFonts w:cs="Times New Roman"/>
        </w:rPr>
        <w:t xml:space="preserve">facilitated networking opportunities for policymakers and </w:t>
      </w:r>
      <w:r w:rsidR="009A0D66">
        <w:rPr>
          <w:rFonts w:cs="Times New Roman"/>
        </w:rPr>
        <w:t xml:space="preserve">industry </w:t>
      </w:r>
      <w:r w:rsidR="00CE437A" w:rsidRPr="007601D4">
        <w:rPr>
          <w:rFonts w:cs="Times New Roman"/>
        </w:rPr>
        <w:t>representatives, strengthening partnerships and encouraging collaborative projects that promote innovation and regional economic development</w:t>
      </w:r>
      <w:r w:rsidR="00626820" w:rsidRPr="007601D4">
        <w:rPr>
          <w:rFonts w:cs="Times New Roman"/>
        </w:rPr>
        <w:t>.</w:t>
      </w:r>
    </w:p>
    <w:p w14:paraId="33362E26" w14:textId="71311DE0" w:rsidR="00F10D50" w:rsidRPr="007601D4" w:rsidRDefault="00F10D50" w:rsidP="0004382C">
      <w:pPr>
        <w:spacing w:line="360" w:lineRule="auto"/>
        <w:rPr>
          <w:rFonts w:cs="Times New Roman"/>
        </w:rPr>
      </w:pPr>
      <w:r w:rsidRPr="007601D4">
        <w:rPr>
          <w:rFonts w:cs="Times New Roman"/>
        </w:rPr>
        <w:t>In addition, t</w:t>
      </w:r>
      <w:r w:rsidRPr="007601D4">
        <w:rPr>
          <w:rFonts w:cs="Times New Roman"/>
          <w:iCs/>
          <w:szCs w:val="24"/>
        </w:rPr>
        <w:t xml:space="preserve">he RCC launched the </w:t>
      </w:r>
      <w:r w:rsidRPr="007601D4">
        <w:rPr>
          <w:rFonts w:cs="Times New Roman"/>
          <w:b/>
        </w:rPr>
        <w:t>Level UP: Regional Gaming Industry Catalyst Program</w:t>
      </w:r>
      <w:r w:rsidR="00F374BD">
        <w:rPr>
          <w:rFonts w:cs="Times New Roman"/>
          <w:b/>
        </w:rPr>
        <w:t>me</w:t>
      </w:r>
      <w:r w:rsidRPr="007601D4">
        <w:rPr>
          <w:rFonts w:cs="Times New Roman"/>
        </w:rPr>
        <w:t xml:space="preserve"> to tackle structural and capacity-related challenges within the gaming ecosystem in the WB6. Its purpose is to map and promote EU-based funding and development opportunities specifically relevant to the </w:t>
      </w:r>
      <w:r w:rsidR="00E55CAA" w:rsidRPr="007601D4">
        <w:rPr>
          <w:rFonts w:cs="Times New Roman"/>
        </w:rPr>
        <w:t>sector and</w:t>
      </w:r>
      <w:r w:rsidRPr="007601D4">
        <w:rPr>
          <w:rFonts w:cs="Times New Roman"/>
        </w:rPr>
        <w:t xml:space="preserve"> strengthen the collaborative and technical abilities of local stakeholders to craft strong, cross-regional proposals under program</w:t>
      </w:r>
      <w:r w:rsidR="00F374BD">
        <w:rPr>
          <w:rFonts w:cs="Times New Roman"/>
        </w:rPr>
        <w:t>me</w:t>
      </w:r>
      <w:r w:rsidRPr="007601D4">
        <w:rPr>
          <w:rFonts w:cs="Times New Roman"/>
        </w:rPr>
        <w:t xml:space="preserve">s such as Creative Europe and Digital Europe. </w:t>
      </w:r>
    </w:p>
    <w:p w14:paraId="40953727" w14:textId="750C348E" w:rsidR="00F10D50" w:rsidRPr="007601D4" w:rsidRDefault="00F10D50" w:rsidP="0004382C">
      <w:pPr>
        <w:spacing w:line="360" w:lineRule="auto"/>
        <w:rPr>
          <w:rFonts w:cs="Times New Roman"/>
          <w:szCs w:val="21"/>
        </w:rPr>
      </w:pPr>
      <w:r w:rsidRPr="007601D4">
        <w:rPr>
          <w:rFonts w:cs="Times New Roman"/>
        </w:rPr>
        <w:t>The RCC published</w:t>
      </w:r>
      <w:r w:rsidRPr="007601D4">
        <w:rPr>
          <w:rFonts w:cs="Times New Roman"/>
          <w:b/>
        </w:rPr>
        <w:t xml:space="preserve"> </w:t>
      </w:r>
      <w:r w:rsidRPr="007601D4">
        <w:rPr>
          <w:rFonts w:cs="Times New Roman"/>
        </w:rPr>
        <w:t xml:space="preserve">the </w:t>
      </w:r>
      <w:hyperlink r:id="rId56" w:history="1">
        <w:r w:rsidRPr="007601D4">
          <w:rPr>
            <w:rStyle w:val="Hyperlink"/>
            <w:b/>
            <w:bCs/>
          </w:rPr>
          <w:t>Western Balkans Start-up Ecosystem at a Crossroads</w:t>
        </w:r>
        <w:r w:rsidRPr="007601D4">
          <w:rPr>
            <w:rStyle w:val="Hyperlink"/>
          </w:rPr>
          <w:t xml:space="preserve"> </w:t>
        </w:r>
        <w:r w:rsidRPr="007601D4">
          <w:rPr>
            <w:rStyle w:val="Hyperlink"/>
            <w:rFonts w:cs="Times New Roman"/>
            <w:b/>
          </w:rPr>
          <w:t>study</w:t>
        </w:r>
      </w:hyperlink>
      <w:r w:rsidR="00AF00DF" w:rsidRPr="007601D4">
        <w:rPr>
          <w:rFonts w:cs="Times New Roman"/>
          <w:b/>
        </w:rPr>
        <w:t xml:space="preserve"> </w:t>
      </w:r>
      <w:r w:rsidRPr="007601D4">
        <w:rPr>
          <w:rFonts w:cs="Times New Roman"/>
          <w:bCs/>
        </w:rPr>
        <w:t>focusing on emerging trends in the regional start-up ecosystem</w:t>
      </w:r>
      <w:r w:rsidRPr="007601D4">
        <w:rPr>
          <w:rFonts w:cs="Times New Roman"/>
        </w:rPr>
        <w:t xml:space="preserve"> in partnership with the </w:t>
      </w:r>
      <w:r w:rsidRPr="007601D4">
        <w:rPr>
          <w:rFonts w:cs="Times New Roman"/>
          <w:b/>
          <w:bCs/>
        </w:rPr>
        <w:lastRenderedPageBreak/>
        <w:t>European Institute of Innovation and Technology (EIT)</w:t>
      </w:r>
      <w:r w:rsidRPr="007601D4">
        <w:rPr>
          <w:rFonts w:cs="Times New Roman"/>
        </w:rPr>
        <w:t xml:space="preserve"> and </w:t>
      </w:r>
      <w:r w:rsidRPr="007601D4">
        <w:rPr>
          <w:rFonts w:cs="Times New Roman"/>
          <w:b/>
          <w:bCs/>
        </w:rPr>
        <w:t>Enterprise Europe Network (EEN).</w:t>
      </w:r>
      <w:r w:rsidRPr="007601D4">
        <w:rPr>
          <w:rFonts w:cs="Times New Roman"/>
        </w:rPr>
        <w:t xml:space="preserve"> The </w:t>
      </w:r>
      <w:r w:rsidR="00CD707A" w:rsidRPr="007601D4">
        <w:rPr>
          <w:rFonts w:cs="Times New Roman"/>
        </w:rPr>
        <w:t>study, launched</w:t>
      </w:r>
      <w:r w:rsidRPr="007601D4">
        <w:rPr>
          <w:rFonts w:cs="Times New Roman"/>
        </w:rPr>
        <w:t xml:space="preserve"> at the regional Ministerial Meeting held in Podgorica on 20-21 October </w:t>
      </w:r>
      <w:r w:rsidR="00CD707A" w:rsidRPr="007601D4">
        <w:rPr>
          <w:rFonts w:cs="Times New Roman"/>
        </w:rPr>
        <w:t>2025</w:t>
      </w:r>
      <w:r w:rsidR="00293E19">
        <w:rPr>
          <w:rFonts w:cs="Times New Roman"/>
        </w:rPr>
        <w:t>,</w:t>
      </w:r>
      <w:r w:rsidR="00CD707A" w:rsidRPr="007601D4">
        <w:rPr>
          <w:rFonts w:cs="Times New Roman"/>
        </w:rPr>
        <w:t xml:space="preserve"> provides</w:t>
      </w:r>
      <w:r w:rsidRPr="007601D4">
        <w:rPr>
          <w:rFonts w:cs="Times New Roman"/>
        </w:rPr>
        <w:t xml:space="preserve"> </w:t>
      </w:r>
      <w:r w:rsidRPr="007601D4">
        <w:rPr>
          <w:rFonts w:cs="Times New Roman"/>
          <w:szCs w:val="21"/>
        </w:rPr>
        <w:t>an overview of the current market dynamics, key challenges faced by startups, potential funding and support mechanisms. It offers a set of policy and practical recommendations with a special emphasis on the use of existing and emerging digital tools to drive innovation in growth in the WB6’s startup ecosystem.</w:t>
      </w:r>
    </w:p>
    <w:p w14:paraId="7D50C08F" w14:textId="696D60C5" w:rsidR="00322287" w:rsidRPr="007601D4" w:rsidRDefault="00F10D50" w:rsidP="0004382C">
      <w:pPr>
        <w:spacing w:line="360" w:lineRule="auto"/>
        <w:rPr>
          <w:rFonts w:eastAsia="Times New Roman" w:cs="Times New Roman"/>
        </w:rPr>
      </w:pPr>
      <w:r w:rsidRPr="007601D4">
        <w:rPr>
          <w:rFonts w:eastAsia="Times New Roman" w:cs="Times New Roman"/>
          <w:szCs w:val="24"/>
        </w:rPr>
        <w:t xml:space="preserve">The RCC has developed a </w:t>
      </w:r>
      <w:hyperlink r:id="rId57" w:history="1">
        <w:r w:rsidR="00322287" w:rsidRPr="007601D4">
          <w:rPr>
            <w:rStyle w:val="Hyperlink"/>
            <w:rFonts w:eastAsia="Times New Roman" w:cs="Times New Roman"/>
            <w:b/>
            <w:bCs/>
          </w:rPr>
          <w:t>Toolkit for Knowledge Transfer at Public Universities</w:t>
        </w:r>
        <w:r w:rsidR="00322287" w:rsidRPr="007601D4">
          <w:rPr>
            <w:rStyle w:val="Hyperlink"/>
            <w:rFonts w:eastAsia="Times New Roman" w:cs="Times New Roman"/>
          </w:rPr>
          <w:t xml:space="preserve"> </w:t>
        </w:r>
        <w:r w:rsidR="00322287" w:rsidRPr="007601D4">
          <w:rPr>
            <w:rStyle w:val="Hyperlink"/>
            <w:rFonts w:eastAsia="Times New Roman" w:cs="Times New Roman"/>
            <w:b/>
            <w:bCs/>
            <w:lang w:bidi="en-US"/>
          </w:rPr>
          <w:t xml:space="preserve">in the WB6 </w:t>
        </w:r>
      </w:hyperlink>
      <w:r w:rsidRPr="007601D4">
        <w:rPr>
          <w:rFonts w:eastAsia="Times New Roman" w:cs="Times New Roman"/>
          <w:b/>
          <w:lang w:bidi="en-US"/>
        </w:rPr>
        <w:t xml:space="preserve"> </w:t>
      </w:r>
      <w:r w:rsidRPr="007601D4">
        <w:rPr>
          <w:rFonts w:eastAsia="Times New Roman" w:cs="Times New Roman"/>
          <w:szCs w:val="24"/>
        </w:rPr>
        <w:t xml:space="preserve">to strengthen collaboration between academia and industry across the region. </w:t>
      </w:r>
      <w:r w:rsidR="00A02DB6" w:rsidRPr="007601D4">
        <w:rPr>
          <w:rFonts w:eastAsia="Times New Roman" w:cs="Times New Roman"/>
        </w:rPr>
        <w:t xml:space="preserve">This toolkit serves as a structured framework to help universities and research organisations collaborate more </w:t>
      </w:r>
      <w:r w:rsidR="00D82632" w:rsidRPr="007601D4">
        <w:rPr>
          <w:rFonts w:eastAsia="Times New Roman" w:cs="Times New Roman"/>
        </w:rPr>
        <w:t>effectively</w:t>
      </w:r>
      <w:r w:rsidR="00A02DB6" w:rsidRPr="007601D4">
        <w:rPr>
          <w:rFonts w:eastAsia="Times New Roman" w:cs="Times New Roman"/>
        </w:rPr>
        <w:t xml:space="preserve"> with businesses and </w:t>
      </w:r>
      <w:r w:rsidR="00A02DB6" w:rsidRPr="007601D4">
        <w:t>commercialise research results</w:t>
      </w:r>
      <w:r w:rsidR="00223DA6" w:rsidRPr="007601D4">
        <w:t>,</w:t>
      </w:r>
      <w:r w:rsidR="00D82632" w:rsidRPr="007601D4">
        <w:rPr>
          <w:rFonts w:eastAsia="Times New Roman" w:cs="Times New Roman"/>
          <w:szCs w:val="24"/>
        </w:rPr>
        <w:t xml:space="preserve"> innovations, and technologies into practical application.</w:t>
      </w:r>
      <w:r w:rsidR="00B64D08" w:rsidRPr="007601D4">
        <w:rPr>
          <w:rFonts w:eastAsia="Times New Roman" w:cs="Times New Roman"/>
          <w:szCs w:val="24"/>
        </w:rPr>
        <w:t xml:space="preserve"> </w:t>
      </w:r>
      <w:r w:rsidRPr="007601D4">
        <w:rPr>
          <w:rFonts w:eastAsia="Times New Roman" w:cs="Times New Roman"/>
          <w:szCs w:val="24"/>
        </w:rPr>
        <w:t xml:space="preserve">As part of this technical assistance, RCC organised a series of targeted training sessions designed to highlight promising funding opportunities and to support public universities and research institutions within the WB6 region in preparing competitive project </w:t>
      </w:r>
      <w:r w:rsidR="004E329B" w:rsidRPr="007601D4">
        <w:rPr>
          <w:rFonts w:eastAsia="Times New Roman" w:cs="Times New Roman"/>
          <w:szCs w:val="24"/>
        </w:rPr>
        <w:t>proposals.</w:t>
      </w:r>
      <w:r w:rsidR="004E329B" w:rsidRPr="007601D4">
        <w:t xml:space="preserve"> These</w:t>
      </w:r>
      <w:r w:rsidR="00322287" w:rsidRPr="007601D4">
        <w:t xml:space="preserve"> measures directly contribute to closing the research-to-market gap and fostering sustainable innovation partnerships and economic growth in the region.</w:t>
      </w:r>
    </w:p>
    <w:p w14:paraId="3A51A840" w14:textId="44D76B65" w:rsidR="0014500F" w:rsidRPr="007601D4" w:rsidRDefault="00F10D50" w:rsidP="0004382C">
      <w:pPr>
        <w:spacing w:line="360" w:lineRule="auto"/>
      </w:pPr>
      <w:r w:rsidRPr="007601D4">
        <w:rPr>
          <w:rFonts w:cs="Times New Roman"/>
        </w:rPr>
        <w:t xml:space="preserve">The RCC </w:t>
      </w:r>
      <w:r w:rsidRPr="007601D4">
        <w:rPr>
          <w:rFonts w:cs="Times New Roman"/>
          <w:b/>
        </w:rPr>
        <w:t>mapped the deep-tech and green-tech manufacturing potential in WB6</w:t>
      </w:r>
      <w:bookmarkStart w:id="16" w:name="_Hlk201304546"/>
      <w:r w:rsidRPr="007601D4">
        <w:rPr>
          <w:rFonts w:cs="Times New Roman"/>
          <w:b/>
        </w:rPr>
        <w:t xml:space="preserve">. </w:t>
      </w:r>
      <w:r w:rsidRPr="007601D4">
        <w:rPr>
          <w:rFonts w:cs="Times New Roman"/>
        </w:rPr>
        <w:t>The study identified several</w:t>
      </w:r>
      <w:r w:rsidR="008064B4" w:rsidRPr="007601D4">
        <w:rPr>
          <w:rFonts w:cs="Times New Roman"/>
        </w:rPr>
        <w:t xml:space="preserve"> high-potential areas including </w:t>
      </w:r>
      <w:r w:rsidR="008064B4" w:rsidRPr="007601D4">
        <w:t>Industry 4.0 technologies (AI, IoT, robotics) for energy efficient and resource</w:t>
      </w:r>
      <w:r w:rsidR="00C3135E">
        <w:t xml:space="preserve"> </w:t>
      </w:r>
      <w:r w:rsidR="008064B4" w:rsidRPr="007601D4">
        <w:t xml:space="preserve">efficient manufacturing, advanced materials and biotechnology for sustainable packaging and bio-based </w:t>
      </w:r>
      <w:r w:rsidR="001F36A6" w:rsidRPr="007601D4">
        <w:t>materials</w:t>
      </w:r>
      <w:r w:rsidR="008064B4" w:rsidRPr="007601D4">
        <w:t>, waste valorisation, and digital platforms and sensors</w:t>
      </w:r>
      <w:r w:rsidR="001F36A6" w:rsidRPr="007601D4">
        <w:t xml:space="preserve">. </w:t>
      </w:r>
      <w:r w:rsidR="0014500F" w:rsidRPr="007601D4">
        <w:t xml:space="preserve">The study provides concrete, policy-oriented and action-driven recommendations for </w:t>
      </w:r>
      <w:r w:rsidR="00D76705" w:rsidRPr="007601D4">
        <w:t xml:space="preserve">WB6 </w:t>
      </w:r>
      <w:r w:rsidR="0014500F" w:rsidRPr="007601D4">
        <w:t>governments to unlock these sectors’ growth potential.</w:t>
      </w:r>
    </w:p>
    <w:bookmarkEnd w:id="16"/>
    <w:p w14:paraId="3DA38F70" w14:textId="30581989" w:rsidR="00F10D50" w:rsidRPr="007601D4" w:rsidRDefault="00F10D50" w:rsidP="0004382C">
      <w:pPr>
        <w:spacing w:line="360" w:lineRule="auto"/>
        <w:rPr>
          <w:rFonts w:eastAsia="Times New Roman" w:cs="Times New Roman"/>
          <w:szCs w:val="24"/>
        </w:rPr>
      </w:pPr>
      <w:r w:rsidRPr="007601D4">
        <w:rPr>
          <w:rFonts w:eastAsia="Times New Roman" w:cs="Times New Roman"/>
          <w:szCs w:val="24"/>
        </w:rPr>
        <w:t xml:space="preserve">The RCC successfully convened the </w:t>
      </w:r>
      <w:r w:rsidR="00CB1F19" w:rsidRPr="007601D4">
        <w:t xml:space="preserve">fourth Butterfly Innovation Forum, held </w:t>
      </w:r>
      <w:r w:rsidR="003F2827">
        <w:t>on</w:t>
      </w:r>
      <w:r w:rsidR="003F2827" w:rsidRPr="007601D4">
        <w:t xml:space="preserve"> </w:t>
      </w:r>
      <w:r w:rsidR="00CB1F19" w:rsidRPr="007601D4">
        <w:t xml:space="preserve">19-20 November 2025 in Novi Sad alongside the </w:t>
      </w:r>
      <w:hyperlink r:id="rId58" w:history="1">
        <w:r w:rsidR="00CB1F19" w:rsidRPr="007601D4">
          <w:rPr>
            <w:rStyle w:val="Hyperlink"/>
            <w:b/>
            <w:bCs/>
          </w:rPr>
          <w:t>Butterfly Innovation Award (BIA)</w:t>
        </w:r>
      </w:hyperlink>
      <w:r w:rsidR="00CB1F19" w:rsidRPr="007601D4">
        <w:t xml:space="preserve"> </w:t>
      </w:r>
      <w:r w:rsidR="00350BCA" w:rsidRPr="007601D4">
        <w:t xml:space="preserve">competition </w:t>
      </w:r>
      <w:r w:rsidR="00CB1F19" w:rsidRPr="007601D4">
        <w:t>ceremony</w:t>
      </w:r>
      <w:r w:rsidRPr="007601D4">
        <w:rPr>
          <w:rFonts w:eastAsia="Times New Roman" w:cs="Times New Roman"/>
          <w:szCs w:val="24"/>
        </w:rPr>
        <w:t xml:space="preserve">. As a flagship regional platform, the Forum showcased RCC’s ongoing efforts to build a robust regional innovation ecosystem and foster collaboration across the Western Balkans. The Forum highlighted the growing importance of artificial intelligence and the role of DIHs in the WB6, the need </w:t>
      </w:r>
      <w:r w:rsidR="00662043" w:rsidRPr="007601D4">
        <w:rPr>
          <w:rFonts w:eastAsia="Times New Roman" w:cs="Times New Roman"/>
          <w:szCs w:val="24"/>
        </w:rPr>
        <w:t>to facilitate</w:t>
      </w:r>
      <w:r w:rsidRPr="007601D4">
        <w:rPr>
          <w:rFonts w:eastAsia="Times New Roman" w:cs="Times New Roman"/>
          <w:szCs w:val="24"/>
        </w:rPr>
        <w:t xml:space="preserve"> knowledge transfer, invest</w:t>
      </w:r>
      <w:r w:rsidR="0022712C">
        <w:rPr>
          <w:rFonts w:eastAsia="Times New Roman" w:cs="Times New Roman"/>
          <w:szCs w:val="24"/>
        </w:rPr>
        <w:t>ments</w:t>
      </w:r>
      <w:r w:rsidRPr="007601D4">
        <w:rPr>
          <w:rFonts w:eastAsia="Times New Roman" w:cs="Times New Roman"/>
          <w:szCs w:val="24"/>
        </w:rPr>
        <w:t xml:space="preserve"> in niche industries such as </w:t>
      </w:r>
      <w:r w:rsidR="000937BE" w:rsidRPr="007601D4">
        <w:rPr>
          <w:rFonts w:eastAsia="Times New Roman" w:cs="Times New Roman"/>
          <w:szCs w:val="24"/>
        </w:rPr>
        <w:t>gaming,</w:t>
      </w:r>
      <w:r w:rsidRPr="007601D4">
        <w:rPr>
          <w:rFonts w:eastAsia="Times New Roman" w:cs="Times New Roman"/>
          <w:szCs w:val="24"/>
        </w:rPr>
        <w:t xml:space="preserve"> </w:t>
      </w:r>
      <w:r w:rsidR="00F345A6" w:rsidRPr="007601D4">
        <w:t>and access to finance as critical drivers of the region’s innovation ecosystem.</w:t>
      </w:r>
      <w:r w:rsidRPr="007601D4">
        <w:rPr>
          <w:rFonts w:eastAsia="Times New Roman" w:cs="Times New Roman"/>
          <w:szCs w:val="24"/>
        </w:rPr>
        <w:t xml:space="preserve"> These elements provided participants with opportunities to exchange knowledge, explore </w:t>
      </w:r>
      <w:r w:rsidR="00D717B8" w:rsidRPr="007601D4">
        <w:rPr>
          <w:rFonts w:eastAsia="Times New Roman" w:cs="Times New Roman"/>
          <w:szCs w:val="24"/>
        </w:rPr>
        <w:lastRenderedPageBreak/>
        <w:t>partnerships,</w:t>
      </w:r>
      <w:r w:rsidRPr="007601D4">
        <w:rPr>
          <w:rFonts w:eastAsia="Times New Roman" w:cs="Times New Roman"/>
          <w:szCs w:val="24"/>
        </w:rPr>
        <w:t xml:space="preserve"> </w:t>
      </w:r>
      <w:r w:rsidR="00EA62A5">
        <w:rPr>
          <w:rFonts w:eastAsia="Times New Roman" w:cs="Times New Roman"/>
          <w:szCs w:val="24"/>
        </w:rPr>
        <w:t xml:space="preserve">and </w:t>
      </w:r>
      <w:r w:rsidRPr="007601D4">
        <w:rPr>
          <w:rFonts w:eastAsia="Times New Roman" w:cs="Times New Roman"/>
          <w:szCs w:val="24"/>
        </w:rPr>
        <w:t xml:space="preserve">strengthen </w:t>
      </w:r>
      <w:r w:rsidR="004166D1" w:rsidRPr="007601D4">
        <w:t xml:space="preserve">peer </w:t>
      </w:r>
      <w:r w:rsidR="000937BE" w:rsidRPr="007601D4">
        <w:t>learning</w:t>
      </w:r>
      <w:r w:rsidR="000937BE" w:rsidRPr="007601D4">
        <w:rPr>
          <w:rFonts w:eastAsia="Times New Roman" w:cs="Times New Roman"/>
          <w:szCs w:val="24"/>
        </w:rPr>
        <w:t>,</w:t>
      </w:r>
      <w:r w:rsidRPr="007601D4">
        <w:rPr>
          <w:rFonts w:eastAsia="Times New Roman" w:cs="Times New Roman"/>
          <w:szCs w:val="24"/>
        </w:rPr>
        <w:t xml:space="preserve"> </w:t>
      </w:r>
      <w:r w:rsidR="00EA62A5">
        <w:rPr>
          <w:rFonts w:eastAsia="Times New Roman" w:cs="Times New Roman"/>
          <w:szCs w:val="24"/>
        </w:rPr>
        <w:t>including</w:t>
      </w:r>
      <w:r w:rsidR="007B2229" w:rsidRPr="007601D4">
        <w:t xml:space="preserve"> networking between start-ups, early-stage teams, and innovation stakeholders</w:t>
      </w:r>
      <w:r w:rsidR="003057F8">
        <w:t>.</w:t>
      </w:r>
      <w:r w:rsidR="007B2229" w:rsidRPr="007601D4">
        <w:rPr>
          <w:rFonts w:eastAsia="Times New Roman" w:cs="Times New Roman"/>
          <w:szCs w:val="24"/>
        </w:rPr>
        <w:t xml:space="preserve"> </w:t>
      </w:r>
    </w:p>
    <w:p w14:paraId="2EF84FDC" w14:textId="7A08294B" w:rsidR="00F10D50" w:rsidRPr="007601D4" w:rsidRDefault="00F10D50" w:rsidP="0004382C">
      <w:pPr>
        <w:spacing w:line="360" w:lineRule="auto"/>
      </w:pPr>
      <w:r w:rsidRPr="007601D4">
        <w:rPr>
          <w:rFonts w:eastAsia="Times New Roman" w:cs="Times New Roman"/>
          <w:szCs w:val="24"/>
        </w:rPr>
        <w:t xml:space="preserve">Complementing the Forum, the RCC awarded six innovative teams </w:t>
      </w:r>
      <w:r w:rsidR="0012772D" w:rsidRPr="007601D4">
        <w:rPr>
          <w:rFonts w:eastAsia="Times New Roman" w:cs="Times New Roman"/>
          <w:szCs w:val="24"/>
        </w:rPr>
        <w:t>with</w:t>
      </w:r>
      <w:r w:rsidRPr="007601D4">
        <w:rPr>
          <w:rFonts w:eastAsia="Times New Roman" w:cs="Times New Roman"/>
          <w:szCs w:val="24"/>
        </w:rPr>
        <w:t xml:space="preserve"> the </w:t>
      </w:r>
      <w:r w:rsidRPr="007601D4">
        <w:rPr>
          <w:rFonts w:eastAsia="Times New Roman" w:cs="Times New Roman"/>
          <w:b/>
          <w:bCs/>
          <w:szCs w:val="24"/>
        </w:rPr>
        <w:t>Butterfly Innovation Awards (BIA)</w:t>
      </w:r>
      <w:r w:rsidRPr="009161BB">
        <w:rPr>
          <w:rFonts w:eastAsia="Times New Roman" w:cs="Times New Roman"/>
          <w:szCs w:val="24"/>
        </w:rPr>
        <w:t>.</w:t>
      </w:r>
      <w:r w:rsidRPr="007601D4">
        <w:rPr>
          <w:rFonts w:eastAsia="Times New Roman" w:cs="Times New Roman"/>
          <w:szCs w:val="24"/>
        </w:rPr>
        <w:t xml:space="preserve"> The BIA aims to inspire creative individuals and organisations to develop scalable, market-ready innovative solutions. By recognising achievements across six categories – </w:t>
      </w:r>
      <w:r w:rsidRPr="007601D4">
        <w:rPr>
          <w:rFonts w:eastAsia="Times New Roman" w:cs="Times New Roman"/>
          <w:bCs/>
          <w:szCs w:val="24"/>
        </w:rPr>
        <w:t>green innovation, industry, STEM, women, university, and youth</w:t>
      </w:r>
      <w:r w:rsidRPr="007601D4">
        <w:rPr>
          <w:rFonts w:eastAsia="Times New Roman" w:cs="Times New Roman"/>
          <w:szCs w:val="24"/>
        </w:rPr>
        <w:t xml:space="preserve"> – the BIA promotes a culture of innovation while advancing both digital and green transitions. Since its inception, the BIA</w:t>
      </w:r>
      <w:r w:rsidR="000937BE" w:rsidRPr="007601D4">
        <w:rPr>
          <w:rFonts w:eastAsia="Times New Roman" w:cs="Times New Roman"/>
          <w:szCs w:val="24"/>
        </w:rPr>
        <w:t xml:space="preserve"> </w:t>
      </w:r>
      <w:r w:rsidR="005F1F7D" w:rsidRPr="007601D4">
        <w:t xml:space="preserve">has supported 24 teams providing financial support and enhanced visibility. </w:t>
      </w:r>
    </w:p>
    <w:p w14:paraId="0C9F1302" w14:textId="77777777" w:rsidR="00E875BF" w:rsidRPr="007601D4" w:rsidRDefault="00E875BF" w:rsidP="0004382C">
      <w:pPr>
        <w:pStyle w:val="Heading3"/>
        <w:spacing w:line="360" w:lineRule="auto"/>
        <w:ind w:left="1418" w:hanging="698"/>
        <w:rPr>
          <w:rFonts w:eastAsia="Times New Roman"/>
          <w:lang w:eastAsia="en-GB"/>
        </w:rPr>
      </w:pPr>
      <w:bookmarkStart w:id="17" w:name="_Toc228451780"/>
      <w:r w:rsidRPr="007601D4">
        <w:rPr>
          <w:rFonts w:eastAsia="Times New Roman"/>
          <w:lang w:eastAsia="en-GB"/>
        </w:rPr>
        <w:t>A2.2. Women’s Economic Empowerment and Regional Network of Women in STEM</w:t>
      </w:r>
      <w:bookmarkEnd w:id="17"/>
    </w:p>
    <w:p w14:paraId="439266C4" w14:textId="0E1242FE" w:rsidR="00AB75F4" w:rsidRPr="007601D4" w:rsidRDefault="00AB75F4" w:rsidP="0004382C">
      <w:pPr>
        <w:spacing w:line="360" w:lineRule="auto"/>
        <w:rPr>
          <w:rFonts w:cs="Times New Roman"/>
          <w:color w:val="000000"/>
          <w:szCs w:val="24"/>
        </w:rPr>
      </w:pPr>
      <w:r w:rsidRPr="007601D4">
        <w:rPr>
          <w:rFonts w:cs="Times New Roman"/>
          <w:szCs w:val="24"/>
          <w:lang w:eastAsia="en-GB"/>
        </w:rPr>
        <w:t>Under Women</w:t>
      </w:r>
      <w:r w:rsidR="008F7F4B">
        <w:rPr>
          <w:rFonts w:cs="Times New Roman"/>
          <w:szCs w:val="24"/>
          <w:lang w:eastAsia="en-GB"/>
        </w:rPr>
        <w:t>’s</w:t>
      </w:r>
      <w:r w:rsidRPr="007601D4">
        <w:rPr>
          <w:rFonts w:cs="Times New Roman"/>
          <w:szCs w:val="24"/>
          <w:lang w:eastAsia="en-GB"/>
        </w:rPr>
        <w:t xml:space="preserve"> Economic Empowerment, RCC successfully contributed to the Berlin Process Summit 2025 leading to the adoption of a </w:t>
      </w:r>
      <w:hyperlink r:id="rId59" w:history="1">
        <w:r w:rsidRPr="007601D4">
          <w:rPr>
            <w:rStyle w:val="Hyperlink"/>
            <w:rFonts w:cs="Times New Roman"/>
            <w:b/>
            <w:bCs/>
            <w:szCs w:val="24"/>
          </w:rPr>
          <w:t>Joint Call for Action on Regional Gender-Responsive Green Finance and Accompanying Recommendations</w:t>
        </w:r>
      </w:hyperlink>
      <w:r w:rsidRPr="007601D4">
        <w:rPr>
          <w:rFonts w:cs="Times New Roman"/>
          <w:color w:val="000000"/>
          <w:szCs w:val="24"/>
        </w:rPr>
        <w:t xml:space="preserve">, calling </w:t>
      </w:r>
      <w:r w:rsidR="00E94E17">
        <w:rPr>
          <w:rFonts w:cs="Times New Roman"/>
          <w:color w:val="000000"/>
          <w:szCs w:val="24"/>
        </w:rPr>
        <w:t>for</w:t>
      </w:r>
      <w:r w:rsidRPr="007601D4">
        <w:rPr>
          <w:rFonts w:cs="Times New Roman"/>
          <w:color w:val="000000"/>
          <w:szCs w:val="24"/>
        </w:rPr>
        <w:t xml:space="preserve"> partnerships and collaboration among policymakers, financial institutions, SMEs, CSOs and other stakeholders to implement the report’s key recommendations aiming to integrate women economic empowerment and inclusive green finance into the governance frameworks of the WB6. In parallel, the RCC contributed to the </w:t>
      </w:r>
      <w:r w:rsidRPr="007601D4">
        <w:rPr>
          <w:rFonts w:cs="Times New Roman"/>
          <w:b/>
          <w:bCs/>
          <w:color w:val="000000"/>
          <w:szCs w:val="24"/>
        </w:rPr>
        <w:t>Gender Equality Forum 2025</w:t>
      </w:r>
      <w:r w:rsidRPr="007601D4">
        <w:rPr>
          <w:rFonts w:cs="Times New Roman"/>
          <w:color w:val="000000"/>
          <w:szCs w:val="24"/>
        </w:rPr>
        <w:t xml:space="preserve">, held on 10 September </w:t>
      </w:r>
      <w:r w:rsidR="00053E7E" w:rsidRPr="007601D4">
        <w:rPr>
          <w:rFonts w:cs="Times New Roman"/>
          <w:color w:val="000000"/>
          <w:szCs w:val="24"/>
        </w:rPr>
        <w:t xml:space="preserve">2025 </w:t>
      </w:r>
      <w:r w:rsidRPr="007601D4">
        <w:rPr>
          <w:rFonts w:cs="Times New Roman"/>
          <w:color w:val="000000"/>
          <w:szCs w:val="24"/>
        </w:rPr>
        <w:t>in Sarajevo, as a side event to the Berlin Process Summit, where it highlighted the women’s economic empowerment dimension of the Berlin Process. </w:t>
      </w:r>
    </w:p>
    <w:p w14:paraId="627D47A4" w14:textId="3701899E" w:rsidR="00AB75F4" w:rsidRPr="007601D4" w:rsidRDefault="00AB75F4" w:rsidP="0004382C">
      <w:pPr>
        <w:spacing w:line="360" w:lineRule="auto"/>
        <w:rPr>
          <w:rFonts w:cs="Times New Roman"/>
          <w:color w:val="000000"/>
          <w:szCs w:val="24"/>
        </w:rPr>
      </w:pPr>
      <w:r w:rsidRPr="007601D4">
        <w:rPr>
          <w:rFonts w:cs="Times New Roman"/>
          <w:color w:val="000000"/>
          <w:szCs w:val="24"/>
        </w:rPr>
        <w:t xml:space="preserve">In support of its Regional Network of Women in Entrepreneurship, the RCC developed a Compendium of Good Practices on Access to Finance for Women Entrepreneurs in the WB6, providing an in-depth analysis of women entrepreneurs’ access to finance in the region, combining data, policy developments, and success stories. The importance of </w:t>
      </w:r>
      <w:r w:rsidR="00B41E54">
        <w:rPr>
          <w:rFonts w:cs="Times New Roman"/>
          <w:color w:val="000000"/>
          <w:szCs w:val="24"/>
        </w:rPr>
        <w:t>the</w:t>
      </w:r>
      <w:r w:rsidRPr="007601D4">
        <w:rPr>
          <w:rFonts w:cs="Times New Roman"/>
          <w:color w:val="000000"/>
          <w:szCs w:val="24"/>
        </w:rPr>
        <w:t xml:space="preserve"> “Joint Call for Action on Regional Gender-Responsive Green Finance” </w:t>
      </w:r>
      <w:r w:rsidR="00B41E54">
        <w:rPr>
          <w:rFonts w:cs="Times New Roman"/>
          <w:color w:val="000000"/>
          <w:szCs w:val="24"/>
        </w:rPr>
        <w:t xml:space="preserve">was emphasised </w:t>
      </w:r>
      <w:r w:rsidRPr="007601D4">
        <w:rPr>
          <w:rFonts w:cs="Times New Roman"/>
          <w:color w:val="000000"/>
          <w:szCs w:val="24"/>
        </w:rPr>
        <w:t xml:space="preserve">and the Compendium’s key findings presented in a regional online meeting held on 3 October 2025 where participants discussed challenges </w:t>
      </w:r>
      <w:r w:rsidR="00DA0ECB">
        <w:rPr>
          <w:rFonts w:cs="Times New Roman"/>
          <w:color w:val="000000"/>
          <w:szCs w:val="24"/>
        </w:rPr>
        <w:t xml:space="preserve">of </w:t>
      </w:r>
      <w:r w:rsidRPr="007601D4">
        <w:rPr>
          <w:rFonts w:cs="Times New Roman"/>
          <w:color w:val="000000"/>
          <w:szCs w:val="24"/>
        </w:rPr>
        <w:t xml:space="preserve">and solutions </w:t>
      </w:r>
      <w:r w:rsidR="00DA0ECB">
        <w:rPr>
          <w:rFonts w:cs="Times New Roman"/>
          <w:color w:val="000000"/>
          <w:szCs w:val="24"/>
        </w:rPr>
        <w:t>to</w:t>
      </w:r>
      <w:r w:rsidRPr="007601D4">
        <w:rPr>
          <w:rFonts w:cs="Times New Roman"/>
          <w:color w:val="000000"/>
          <w:szCs w:val="24"/>
        </w:rPr>
        <w:t xml:space="preserve"> access to finance, identified priority actions and collaboration opportunities, and brainstormed on ways to boost visibility by promoting as many success stories of women entrepreneurs in the region as possible. The meeting also featured contributions from the European Bank for Reconstruction and </w:t>
      </w:r>
      <w:r w:rsidRPr="007601D4">
        <w:rPr>
          <w:rFonts w:cs="Times New Roman"/>
          <w:color w:val="000000"/>
          <w:szCs w:val="24"/>
        </w:rPr>
        <w:lastRenderedPageBreak/>
        <w:t>Development (EBRD), which provided updates on the progress and implementation of the Women Entrepreneurs Finance Code in the region. </w:t>
      </w:r>
    </w:p>
    <w:p w14:paraId="7B3241A1" w14:textId="7D37E2B2" w:rsidR="00AB75F4" w:rsidRPr="007601D4" w:rsidRDefault="00AB75F4" w:rsidP="0004382C">
      <w:pPr>
        <w:spacing w:line="360" w:lineRule="auto"/>
        <w:rPr>
          <w:rFonts w:cs="Times New Roman"/>
          <w:color w:val="000000"/>
          <w:szCs w:val="24"/>
        </w:rPr>
      </w:pPr>
      <w:r w:rsidRPr="007601D4">
        <w:rPr>
          <w:rFonts w:cs="Times New Roman"/>
          <w:color w:val="000000"/>
          <w:szCs w:val="24"/>
        </w:rPr>
        <w:t>Finally, RCC has launched a gap analysis of gender statistics to improve the availability and quality of gender-disaggregated data on entrepreneurship across the WB6. Under Women</w:t>
      </w:r>
      <w:r w:rsidR="00055704">
        <w:rPr>
          <w:rFonts w:cs="Times New Roman"/>
          <w:color w:val="000000"/>
          <w:szCs w:val="24"/>
        </w:rPr>
        <w:t>’s</w:t>
      </w:r>
      <w:r w:rsidRPr="007601D4">
        <w:rPr>
          <w:rFonts w:cs="Times New Roman"/>
          <w:color w:val="000000"/>
          <w:szCs w:val="24"/>
        </w:rPr>
        <w:t xml:space="preserve"> Economic Empowerment, the objective is to improve the quality, availability, and comparability of gender-disaggregated entrepreneurship statistics, enabling more evidence-based policymaking while aligning the region with EU standards and key frameworks on business statistics, including gender disaggregation. This targeted approach aims to enhance institutional readiness and support compliance with EU obligations in gender-disaggregated and entrepreneurship-related data. </w:t>
      </w:r>
    </w:p>
    <w:p w14:paraId="0FF16736" w14:textId="77777777" w:rsidR="00604460" w:rsidRPr="007601D4" w:rsidRDefault="001C1D50" w:rsidP="0004382C">
      <w:pPr>
        <w:pStyle w:val="Heading3"/>
        <w:spacing w:line="360" w:lineRule="auto"/>
        <w:ind w:firstLine="720"/>
        <w:rPr>
          <w:rFonts w:eastAsia="Times New Roman"/>
          <w:lang w:eastAsia="en-GB"/>
        </w:rPr>
      </w:pPr>
      <w:bookmarkStart w:id="18" w:name="_Toc133825138"/>
      <w:bookmarkStart w:id="19" w:name="_Toc228451781"/>
      <w:r w:rsidRPr="007601D4">
        <w:t>A2.</w:t>
      </w:r>
      <w:r w:rsidR="007C416F" w:rsidRPr="007601D4">
        <w:t>3</w:t>
      </w:r>
      <w:r w:rsidRPr="007601D4">
        <w:t>. Free Movement of People</w:t>
      </w:r>
      <w:bookmarkStart w:id="20" w:name="_Toc133825135"/>
      <w:bookmarkEnd w:id="18"/>
      <w:bookmarkEnd w:id="19"/>
      <w:r w:rsidR="00272C43" w:rsidRPr="007601D4">
        <w:rPr>
          <w:rFonts w:eastAsia="Times New Roman"/>
          <w:lang w:eastAsia="en-GB"/>
        </w:rPr>
        <w:t xml:space="preserve"> </w:t>
      </w:r>
    </w:p>
    <w:p w14:paraId="5B0F6120" w14:textId="7F8EDEEB" w:rsidR="00D331E1" w:rsidRPr="007601D4" w:rsidRDefault="00DE0422" w:rsidP="0004382C">
      <w:pPr>
        <w:spacing w:line="360" w:lineRule="auto"/>
      </w:pPr>
      <w:bookmarkStart w:id="21" w:name="_Toc133825139"/>
      <w:bookmarkEnd w:id="20"/>
      <w:r w:rsidRPr="007601D4">
        <w:t xml:space="preserve">Progress continued in advancing the free movement agenda in the </w:t>
      </w:r>
      <w:r w:rsidR="00D331E1" w:rsidRPr="007601D4">
        <w:t>WB6</w:t>
      </w:r>
      <w:r w:rsidR="00E11511" w:rsidRPr="007601D4">
        <w:t>. D</w:t>
      </w:r>
      <w:r w:rsidRPr="007601D4">
        <w:t xml:space="preserve">evelopments in higher education mobility, </w:t>
      </w:r>
      <w:r w:rsidR="00E11511" w:rsidRPr="007601D4">
        <w:t xml:space="preserve">recognition of </w:t>
      </w:r>
      <w:r w:rsidRPr="007601D4">
        <w:t xml:space="preserve">professional qualifications, and social security coordination </w:t>
      </w:r>
      <w:r w:rsidR="00D331E1" w:rsidRPr="007601D4">
        <w:t xml:space="preserve">supported the implementation of the </w:t>
      </w:r>
      <w:r w:rsidR="003E14AA" w:rsidRPr="007601D4">
        <w:t>CRM</w:t>
      </w:r>
      <w:r w:rsidR="00D331E1" w:rsidRPr="007601D4">
        <w:t xml:space="preserve"> and alignment with the EU acquis.</w:t>
      </w:r>
    </w:p>
    <w:p w14:paraId="08125DC4" w14:textId="51FFDDD9" w:rsidR="00DE0422" w:rsidRPr="007601D4" w:rsidRDefault="00DE0422" w:rsidP="0004382C">
      <w:pPr>
        <w:spacing w:line="360" w:lineRule="auto"/>
      </w:pPr>
      <w:r w:rsidRPr="007601D4">
        <w:t xml:space="preserve">In the area of higher education, regional </w:t>
      </w:r>
      <w:r w:rsidRPr="007601D4">
        <w:rPr>
          <w:b/>
          <w:bCs/>
        </w:rPr>
        <w:t>quality assurance systems</w:t>
      </w:r>
      <w:r w:rsidRPr="007601D4">
        <w:t xml:space="preserve"> further advanced toward</w:t>
      </w:r>
      <w:r w:rsidR="00920F70">
        <w:t>s</w:t>
      </w:r>
      <w:r w:rsidRPr="007601D4">
        <w:t xml:space="preserve"> alignment with the </w:t>
      </w:r>
      <w:r w:rsidRPr="007601D4">
        <w:rPr>
          <w:b/>
          <w:bCs/>
        </w:rPr>
        <w:t>European Standards and Guidelines (ESG)</w:t>
      </w:r>
      <w:r w:rsidR="007C5D84" w:rsidRPr="009161BB">
        <w:t>.</w:t>
      </w:r>
      <w:r w:rsidR="007C5D84" w:rsidRPr="007601D4">
        <w:rPr>
          <w:b/>
          <w:bCs/>
        </w:rPr>
        <w:t xml:space="preserve"> </w:t>
      </w:r>
      <w:r w:rsidR="007C5D84" w:rsidRPr="007601D4">
        <w:rPr>
          <w:szCs w:val="24"/>
        </w:rPr>
        <w:t>A major milestone was achieved on 27 June</w:t>
      </w:r>
      <w:r w:rsidR="00E26E53" w:rsidRPr="007601D4">
        <w:rPr>
          <w:szCs w:val="24"/>
        </w:rPr>
        <w:t xml:space="preserve"> 2025</w:t>
      </w:r>
      <w:r w:rsidR="007C5D84" w:rsidRPr="007601D4">
        <w:rPr>
          <w:b/>
          <w:bCs/>
          <w:szCs w:val="24"/>
        </w:rPr>
        <w:t xml:space="preserve">, </w:t>
      </w:r>
      <w:r w:rsidR="007C5D84" w:rsidRPr="007601D4">
        <w:rPr>
          <w:szCs w:val="24"/>
        </w:rPr>
        <w:t>when the</w:t>
      </w:r>
      <w:r w:rsidR="007C5D84" w:rsidRPr="007601D4">
        <w:rPr>
          <w:i/>
          <w:szCs w:val="24"/>
        </w:rPr>
        <w:t xml:space="preserve"> </w:t>
      </w:r>
      <w:r w:rsidR="00DC21BC" w:rsidRPr="007601D4">
        <w:rPr>
          <w:iCs/>
          <w:szCs w:val="24"/>
        </w:rPr>
        <w:t>Kosovo</w:t>
      </w:r>
      <w:r w:rsidR="002808E2" w:rsidRPr="007601D4">
        <w:rPr>
          <w:rStyle w:val="FootnoteReference"/>
          <w:iCs/>
          <w:szCs w:val="24"/>
        </w:rPr>
        <w:footnoteReference w:customMarkFollows="1" w:id="6"/>
        <w:t>*</w:t>
      </w:r>
      <w:r w:rsidR="00DC21BC" w:rsidRPr="007601D4">
        <w:rPr>
          <w:i/>
          <w:szCs w:val="24"/>
        </w:rPr>
        <w:t xml:space="preserve"> </w:t>
      </w:r>
      <w:r w:rsidR="007C5D84" w:rsidRPr="007601D4">
        <w:rPr>
          <w:szCs w:val="24"/>
        </w:rPr>
        <w:t>Accreditation Agency (KAA) obtained full registration in the European Quality Assurance Register (EQAR)</w:t>
      </w:r>
      <w:r w:rsidRPr="007601D4">
        <w:t>, strengthening trust in qualifications and facilitating academic and professional mobility. RCC also supported the Agency for Quality of Higher Education of North Macedonia (AVKO) through targeted peer-learning and legal review activities, resulting in concrete recommendations and a dedicated roadmap guiding the agency toward</w:t>
      </w:r>
      <w:r w:rsidR="00920F70">
        <w:t>s</w:t>
      </w:r>
      <w:r w:rsidRPr="007601D4">
        <w:t xml:space="preserve"> ESG compliance and its forthcoming ENQA review. </w:t>
      </w:r>
    </w:p>
    <w:p w14:paraId="43A3CFC4" w14:textId="7FE31762" w:rsidR="00DE0422" w:rsidRPr="007601D4" w:rsidRDefault="00DE0422" w:rsidP="0004382C">
      <w:pPr>
        <w:spacing w:line="360" w:lineRule="auto"/>
      </w:pPr>
      <w:r w:rsidRPr="007601D4">
        <w:t xml:space="preserve">A milestone in advancing regional cooperation was the </w:t>
      </w:r>
      <w:r w:rsidRPr="007601D4">
        <w:rPr>
          <w:b/>
          <w:bCs/>
        </w:rPr>
        <w:t>high-level conference</w:t>
      </w:r>
      <w:r w:rsidRPr="007601D4">
        <w:t xml:space="preserve"> </w:t>
      </w:r>
      <w:r w:rsidRPr="007601D4">
        <w:rPr>
          <w:i/>
          <w:iCs/>
        </w:rPr>
        <w:t>Bridging Futures: Internationalisation of Higher Education in the Western Balkans and Southeast Europe</w:t>
      </w:r>
      <w:r w:rsidRPr="007601D4">
        <w:t xml:space="preserve">, organised by RCC in cooperation with the World Bank and the Ministry of Education and Science of North Macedonia, held on 26–27 March 2026 in Skopje. The conference brought together around 100 participants, including Ministers of Education, senior </w:t>
      </w:r>
      <w:r w:rsidRPr="007601D4">
        <w:lastRenderedPageBreak/>
        <w:t>policymakers, global higher education experts, and stakeholders from the Western Balkans Six and the SEECP. The Conference marked a shift from fragmented approaches toward</w:t>
      </w:r>
      <w:r w:rsidR="00920F70">
        <w:t>s</w:t>
      </w:r>
      <w:r w:rsidRPr="007601D4">
        <w:t xml:space="preserve"> a more integrated, system-level perspective anchored in mobility, quality assurance, and labour market relevance, while providing a structured platform for peer-to-peer exchange and policy dialogue at regional and international level. Cross-sectoral engagement addressed key bottlenecks related to recognition of qualifications, quality assurance alignment, and workforce mobility, particularly in regulated professions. Through thematic sessions and expert exchanges, the conference strengthened cooperation, reinforced institutional networks, and contributed to a shared understanding of reform priorities. Its outcomes are feeding into ongoing regional processes under the </w:t>
      </w:r>
      <w:r w:rsidR="000D024C" w:rsidRPr="007601D4">
        <w:t>CRM</w:t>
      </w:r>
      <w:r w:rsidR="0022295E">
        <w:t xml:space="preserve"> 2</w:t>
      </w:r>
      <w:r w:rsidRPr="007601D4">
        <w:t xml:space="preserve"> and the SEE2030 Strategy, further supporting alignment with EU standards and advancing the mobility agenda.</w:t>
      </w:r>
    </w:p>
    <w:p w14:paraId="7E666871" w14:textId="70999CD2" w:rsidR="00DE0422" w:rsidRPr="007601D4" w:rsidRDefault="00DE0422" w:rsidP="0004382C">
      <w:pPr>
        <w:spacing w:line="360" w:lineRule="auto"/>
      </w:pPr>
      <w:r w:rsidRPr="007601D4">
        <w:t xml:space="preserve">Progress was recorded in </w:t>
      </w:r>
      <w:r w:rsidRPr="007601D4">
        <w:rPr>
          <w:b/>
          <w:bCs/>
        </w:rPr>
        <w:t xml:space="preserve">operationalising </w:t>
      </w:r>
      <w:r w:rsidR="00C75D83">
        <w:rPr>
          <w:b/>
          <w:bCs/>
        </w:rPr>
        <w:t xml:space="preserve">the </w:t>
      </w:r>
      <w:r w:rsidRPr="007601D4">
        <w:rPr>
          <w:b/>
          <w:bCs/>
        </w:rPr>
        <w:t>Agreement on Access to Higher Education and Admission to Study</w:t>
      </w:r>
      <w:r w:rsidRPr="007601D4">
        <w:t xml:space="preserve"> (AHEAS). The first working meeting of the Joint Commission was held on 24 February 2026 in Podgorica, formally launching the institutional framework for implementation. Parties agreed on </w:t>
      </w:r>
      <w:r w:rsidR="004D2489">
        <w:t xml:space="preserve">the </w:t>
      </w:r>
      <w:r w:rsidRPr="007601D4">
        <w:t>next steps toward</w:t>
      </w:r>
      <w:r w:rsidR="00920F70">
        <w:t>s</w:t>
      </w:r>
      <w:r w:rsidRPr="007601D4">
        <w:t xml:space="preserve"> adopting Rules of Procedure, establishing the basis for practical cooperation in facilitating access to higher education across the region.</w:t>
      </w:r>
    </w:p>
    <w:p w14:paraId="39C1B9E0" w14:textId="4DA085B9" w:rsidR="00DE0422" w:rsidRPr="007601D4" w:rsidRDefault="00DE0422" w:rsidP="0004382C">
      <w:pPr>
        <w:spacing w:line="360" w:lineRule="auto"/>
      </w:pPr>
      <w:r w:rsidRPr="007601D4">
        <w:t>However, implementation of regional mobility agreements in higher education remains constrained by political and technical bottlenecks: despite being in force, the implementation of the Agreement on the Recognition of Higher Education Qualifications is stilled stalled. RCC facilitated a meeting between Belgrade and Pristina in December 2025, with the participation of the European Commission</w:t>
      </w:r>
      <w:r w:rsidR="005B1AF5" w:rsidRPr="007601D4">
        <w:t xml:space="preserve"> (EC)</w:t>
      </w:r>
      <w:r w:rsidRPr="007601D4">
        <w:t>, to explore options for overcoming the impasse. Addressing this issue remains critical, as delays risk affecting the operationalisation of related agreements, including AHEAS.</w:t>
      </w:r>
    </w:p>
    <w:p w14:paraId="5804A5E8" w14:textId="0C460808" w:rsidR="00DE0422" w:rsidRPr="007601D4" w:rsidRDefault="00DE0422" w:rsidP="0004382C">
      <w:pPr>
        <w:spacing w:line="360" w:lineRule="auto"/>
      </w:pPr>
      <w:r w:rsidRPr="007601D4">
        <w:t xml:space="preserve">Technical infrastructure supporting mobility has in the meantime advanced. RCC completed the migration and expansion of the </w:t>
      </w:r>
      <w:hyperlink r:id="rId60" w:history="1">
        <w:r w:rsidRPr="007601D4">
          <w:rPr>
            <w:rStyle w:val="Hyperlink"/>
            <w:b/>
            <w:bCs/>
          </w:rPr>
          <w:t>Regional Recognition Database (RRD)</w:t>
        </w:r>
      </w:hyperlink>
      <w:r w:rsidRPr="007601D4">
        <w:t xml:space="preserve"> as of December 2025. While this represents an important enabling tool, its effectiveness depends on systematic data input by all parties, which remains uneven.</w:t>
      </w:r>
    </w:p>
    <w:p w14:paraId="455DA5D3" w14:textId="3B165EE5" w:rsidR="00DE0422" w:rsidRPr="007601D4" w:rsidRDefault="00DE0422" w:rsidP="0004382C">
      <w:pPr>
        <w:spacing w:line="360" w:lineRule="auto"/>
      </w:pPr>
      <w:r w:rsidRPr="007601D4">
        <w:t xml:space="preserve">In the area of </w:t>
      </w:r>
      <w:r w:rsidRPr="007601D4">
        <w:rPr>
          <w:b/>
          <w:bCs/>
        </w:rPr>
        <w:t>professional qualifications</w:t>
      </w:r>
      <w:r w:rsidRPr="007601D4">
        <w:t>, as of January 2026, RCC supported WB6 efforts to align with Directive 2005/36/EC through a comprehensive regional assessment</w:t>
      </w:r>
      <w:r w:rsidR="004E0D48" w:rsidRPr="007601D4">
        <w:t>. This</w:t>
      </w:r>
      <w:r w:rsidRPr="007601D4">
        <w:t xml:space="preserve"> includ</w:t>
      </w:r>
      <w:r w:rsidR="004E0D48" w:rsidRPr="007601D4">
        <w:t>ed</w:t>
      </w:r>
      <w:r w:rsidRPr="007601D4">
        <w:t xml:space="preserve"> </w:t>
      </w:r>
      <w:r w:rsidRPr="007601D4">
        <w:lastRenderedPageBreak/>
        <w:t xml:space="preserve">economy-specific fiches, stakeholder consultations, and a roadmap outlining sequencing, governance models, and priority </w:t>
      </w:r>
      <w:r w:rsidR="004E0D48" w:rsidRPr="007601D4">
        <w:t xml:space="preserve">implementation </w:t>
      </w:r>
      <w:r w:rsidRPr="007601D4">
        <w:t xml:space="preserve">actions. </w:t>
      </w:r>
      <w:r w:rsidR="006D3814" w:rsidRPr="007601D4">
        <w:t>Together</w:t>
      </w:r>
      <w:r w:rsidR="00F0581E">
        <w:t>,</w:t>
      </w:r>
      <w:r w:rsidR="006D3814" w:rsidRPr="007601D4">
        <w:t xml:space="preserve"> t</w:t>
      </w:r>
      <w:r w:rsidRPr="007601D4">
        <w:t>h</w:t>
      </w:r>
      <w:r w:rsidR="006D3814" w:rsidRPr="007601D4">
        <w:t>ese</w:t>
      </w:r>
      <w:r w:rsidRPr="007601D4">
        <w:t xml:space="preserve"> provide a solid technical and policy basis for advancing alignment of curricula, accreditation systems, and recognition procedures. </w:t>
      </w:r>
    </w:p>
    <w:p w14:paraId="68C790B8" w14:textId="07F8BC2D" w:rsidR="0084788B" w:rsidRPr="007601D4" w:rsidRDefault="007214F7" w:rsidP="0004382C">
      <w:pPr>
        <w:spacing w:line="360" w:lineRule="auto"/>
      </w:pPr>
      <w:r w:rsidRPr="007601D4">
        <w:t xml:space="preserve">On 11 September 2025 in Brussels, the fourth meeting of the Commission monitoring the implementation of the Agreement on Freedom of Movement with Identity Cards in the Western Balkans was held with participation of all contracting parties and Bosnia and Herzegovina as an observer amid its ongoing ratification process. The meeting highlighted the smooth implementation of the Agreement, noting more than 23 million </w:t>
      </w:r>
      <w:r w:rsidR="001506AE" w:rsidRPr="007601D4">
        <w:t xml:space="preserve">intraregional movements from January to July 2025, exercising </w:t>
      </w:r>
      <w:r w:rsidRPr="007601D4">
        <w:t>the</w:t>
      </w:r>
      <w:r w:rsidR="001506AE" w:rsidRPr="007601D4">
        <w:t xml:space="preserve"> </w:t>
      </w:r>
      <w:r w:rsidRPr="007601D4">
        <w:t xml:space="preserve">right to travel using identity card. Discussions also addressed challenges related to the travel of minors without identity cards, with efforts underway to identify inclusive and practical solutions. </w:t>
      </w:r>
      <w:r w:rsidR="0084788B" w:rsidRPr="007601D4">
        <w:t>In May 2026, the Commission held its fifth meeting online, reviewing comparative data for the first and second halves of 2025, as well as cumulative implementation data. This continued the technical monitoring of the Agreement and supported evidence-based follow-up on regional mobility arrangements</w:t>
      </w:r>
      <w:r w:rsidR="004B6860">
        <w:t>.</w:t>
      </w:r>
    </w:p>
    <w:p w14:paraId="2FC92FFC" w14:textId="4AFA0F1D" w:rsidR="001A1FD7" w:rsidRPr="007601D4" w:rsidRDefault="001C1D50" w:rsidP="0004382C">
      <w:pPr>
        <w:pStyle w:val="Heading2"/>
        <w:spacing w:line="360" w:lineRule="auto"/>
      </w:pPr>
      <w:bookmarkStart w:id="22" w:name="_Toc228451782"/>
      <w:r w:rsidRPr="007601D4">
        <w:t>A3. Digital Integration and Implementation of the Digital Agenda for Western Balkans</w:t>
      </w:r>
      <w:bookmarkEnd w:id="21"/>
      <w:bookmarkEnd w:id="22"/>
    </w:p>
    <w:p w14:paraId="17BFE122" w14:textId="50DC2602" w:rsidR="00C95E3A" w:rsidRPr="007601D4" w:rsidRDefault="00640630" w:rsidP="0004382C">
      <w:pPr>
        <w:spacing w:line="360" w:lineRule="auto"/>
      </w:pPr>
      <w:bookmarkStart w:id="23" w:name="_Hlk222140483"/>
      <w:r w:rsidRPr="007601D4">
        <w:t xml:space="preserve">During the reporting period, efforts in the telecommunications </w:t>
      </w:r>
      <w:r w:rsidR="00720583" w:rsidRPr="007601D4">
        <w:t>sector focused</w:t>
      </w:r>
      <w:r w:rsidRPr="007601D4">
        <w:t xml:space="preserve"> on improving the business environment, </w:t>
      </w:r>
      <w:r w:rsidR="00720583" w:rsidRPr="007601D4">
        <w:t>particularly permit</w:t>
      </w:r>
      <w:r w:rsidR="00406CF5" w:rsidRPr="007601D4">
        <w:t>-</w:t>
      </w:r>
      <w:r w:rsidRPr="007601D4">
        <w:t xml:space="preserve">granting procedures, identified by operators as </w:t>
      </w:r>
      <w:r w:rsidR="00F03AC5" w:rsidRPr="007601D4">
        <w:t>key</w:t>
      </w:r>
      <w:r w:rsidRPr="007601D4">
        <w:t xml:space="preserve"> barrier to broadband network deployment.</w:t>
      </w:r>
      <w:r w:rsidRPr="007601D4">
        <w:rPr>
          <w:rFonts w:eastAsia="Times New Roman" w:cs="Times New Roman"/>
          <w:szCs w:val="24"/>
        </w:rPr>
        <w:t xml:space="preserve"> </w:t>
      </w:r>
      <w:r w:rsidR="00A62841" w:rsidRPr="007601D4">
        <w:t>To assess these challenges, questionnaires were distributed to telecom operators across the WB6 in August 2025 and to local municipalities in February 2026. Initial findings, presented at the Advisory and Coordination Group meeting in October 2025 alongside the WB Digital Summit, highlighted issues such as unpredictable timelines, excessive administrative requirements, environmental constraints, digitalisation gaps, and high and inconsistent fees</w:t>
      </w:r>
      <w:r w:rsidR="00C95E3A" w:rsidRPr="007601D4">
        <w:t>.</w:t>
      </w:r>
    </w:p>
    <w:p w14:paraId="34DF4966" w14:textId="48756293" w:rsidR="00640630" w:rsidRPr="007601D4" w:rsidRDefault="00C95E3A" w:rsidP="0004382C">
      <w:pPr>
        <w:spacing w:line="360" w:lineRule="auto"/>
        <w:rPr>
          <w:rFonts w:eastAsia="Times New Roman" w:cs="Times New Roman"/>
          <w:szCs w:val="24"/>
        </w:rPr>
      </w:pPr>
      <w:r w:rsidRPr="007601D4">
        <w:t>Building on these results and in line with the February 2026 WB6 Working Group on Connectivity, the RCC launched a more detailed review incorporating input from both the public and private sectors, including</w:t>
      </w:r>
      <w:r w:rsidR="00A947C1" w:rsidRPr="007601D4">
        <w:t xml:space="preserve"> assessment of</w:t>
      </w:r>
      <w:r w:rsidRPr="007601D4">
        <w:t xml:space="preserve"> municipal responses</w:t>
      </w:r>
      <w:r w:rsidR="00E56C38" w:rsidRPr="007601D4">
        <w:t xml:space="preserve"> on permitting procedures</w:t>
      </w:r>
      <w:r w:rsidRPr="007601D4">
        <w:t xml:space="preserve">. The next phase will involve </w:t>
      </w:r>
      <w:r w:rsidR="00A947C1" w:rsidRPr="007601D4">
        <w:t>organi</w:t>
      </w:r>
      <w:r w:rsidR="007601D4">
        <w:t>s</w:t>
      </w:r>
      <w:r w:rsidR="00A947C1" w:rsidRPr="007601D4">
        <w:t>ing</w:t>
      </w:r>
      <w:r w:rsidRPr="007601D4">
        <w:t xml:space="preserve"> </w:t>
      </w:r>
      <w:r w:rsidR="00640630" w:rsidRPr="007601D4">
        <w:t xml:space="preserve">meetings in each WB6 to present the </w:t>
      </w:r>
      <w:r w:rsidR="00640630" w:rsidRPr="007601D4">
        <w:lastRenderedPageBreak/>
        <w:t xml:space="preserve">findings and </w:t>
      </w:r>
      <w:r w:rsidR="00720583" w:rsidRPr="007601D4">
        <w:t>engage stakeholders</w:t>
      </w:r>
      <w:r w:rsidR="00640630" w:rsidRPr="007601D4">
        <w:t xml:space="preserve"> in identifying measures to streamline and improve </w:t>
      </w:r>
      <w:r w:rsidR="00340D5D" w:rsidRPr="007601D4">
        <w:t>permitting procedures</w:t>
      </w:r>
      <w:r w:rsidR="00640630" w:rsidRPr="007601D4">
        <w:t>.</w:t>
      </w:r>
    </w:p>
    <w:p w14:paraId="66568C06" w14:textId="5FFDCB88" w:rsidR="00553AC9" w:rsidRPr="007601D4" w:rsidRDefault="00640630" w:rsidP="0004382C">
      <w:pPr>
        <w:spacing w:line="360" w:lineRule="auto"/>
        <w:rPr>
          <w:rFonts w:eastAsia="Times New Roman" w:cs="Times New Roman"/>
          <w:szCs w:val="24"/>
        </w:rPr>
      </w:pPr>
      <w:r w:rsidRPr="007601D4">
        <w:rPr>
          <w:rFonts w:eastAsia="Times New Roman" w:cs="Times New Roman"/>
          <w:szCs w:val="24"/>
        </w:rPr>
        <w:t xml:space="preserve">The voluntary EU/WB Roaming Declaration, signed in December 2022 by 38 operators from WB6 and the EU, has proven </w:t>
      </w:r>
      <w:r w:rsidR="005D793C" w:rsidRPr="007601D4">
        <w:rPr>
          <w:rFonts w:eastAsia="Times New Roman" w:cs="Times New Roman"/>
          <w:szCs w:val="24"/>
        </w:rPr>
        <w:t>highly</w:t>
      </w:r>
      <w:r w:rsidRPr="007601D4">
        <w:rPr>
          <w:rFonts w:eastAsia="Times New Roman" w:cs="Times New Roman"/>
          <w:szCs w:val="24"/>
        </w:rPr>
        <w:t xml:space="preserve"> successful. Since the introduction of reduced data roaming charges on 1 October 2023, prices have dropped significantly, often falling well below the agreed price caps. The most recent analysis confirms this trend. </w:t>
      </w:r>
    </w:p>
    <w:p w14:paraId="750F8E7D" w14:textId="5A5371F3" w:rsidR="00640630" w:rsidRPr="007601D4" w:rsidRDefault="00640630" w:rsidP="0004382C">
      <w:pPr>
        <w:spacing w:line="360" w:lineRule="auto"/>
        <w:rPr>
          <w:rFonts w:eastAsia="Times New Roman" w:cs="Times New Roman"/>
        </w:rPr>
      </w:pPr>
      <w:r w:rsidRPr="007601D4">
        <w:rPr>
          <w:rFonts w:eastAsia="Times New Roman" w:cs="Times New Roman"/>
          <w:szCs w:val="24"/>
        </w:rPr>
        <w:t xml:space="preserve">Although the </w:t>
      </w:r>
      <w:r w:rsidR="0052698E" w:rsidRPr="007601D4">
        <w:rPr>
          <w:rFonts w:eastAsia="Times New Roman" w:cs="Times New Roman"/>
          <w:szCs w:val="24"/>
        </w:rPr>
        <w:t xml:space="preserve">data roaming </w:t>
      </w:r>
      <w:r w:rsidRPr="007601D4">
        <w:rPr>
          <w:rFonts w:eastAsia="Times New Roman" w:cs="Times New Roman"/>
          <w:szCs w:val="24"/>
        </w:rPr>
        <w:t xml:space="preserve">price cap is set at 14 EUR/GB for the period from 1 January 2026 to the end of 2027, </w:t>
      </w:r>
      <w:r w:rsidR="00F607E9" w:rsidRPr="007601D4">
        <w:rPr>
          <w:rFonts w:eastAsia="Times New Roman" w:cs="Times New Roman"/>
          <w:szCs w:val="24"/>
        </w:rPr>
        <w:t>most</w:t>
      </w:r>
      <w:r w:rsidRPr="007601D4">
        <w:rPr>
          <w:rFonts w:eastAsia="Times New Roman" w:cs="Times New Roman"/>
          <w:szCs w:val="24"/>
        </w:rPr>
        <w:t xml:space="preserve"> operators already offer </w:t>
      </w:r>
      <w:r w:rsidR="00BE7201" w:rsidRPr="007601D4">
        <w:rPr>
          <w:rFonts w:eastAsia="Times New Roman" w:cs="Times New Roman"/>
          <w:szCs w:val="24"/>
        </w:rPr>
        <w:t>substantially lower</w:t>
      </w:r>
      <w:r w:rsidRPr="007601D4">
        <w:rPr>
          <w:rFonts w:eastAsia="Times New Roman" w:cs="Times New Roman"/>
          <w:szCs w:val="24"/>
        </w:rPr>
        <w:t xml:space="preserve"> rates. Around 85% of signatories provide data roaming at under 9 EUR/GB, with many offering prices below 3 EUR/GB. In the second half of 2025, discussions with the signatories </w:t>
      </w:r>
      <w:r w:rsidR="007B6F5E" w:rsidRPr="007601D4">
        <w:rPr>
          <w:rFonts w:eastAsia="Times New Roman" w:cs="Times New Roman"/>
          <w:szCs w:val="24"/>
        </w:rPr>
        <w:t>focused</w:t>
      </w:r>
      <w:r w:rsidRPr="007601D4">
        <w:rPr>
          <w:rFonts w:eastAsia="Times New Roman" w:cs="Times New Roman"/>
          <w:szCs w:val="24"/>
        </w:rPr>
        <w:t xml:space="preserve"> on adjusting the price caps to better reflect current retail market conditions. However, this proposal did not receive sufficient support. </w:t>
      </w:r>
      <w:r w:rsidRPr="007601D4">
        <w:rPr>
          <w:rFonts w:eastAsia="Times New Roman" w:cs="Times New Roman"/>
        </w:rPr>
        <w:t>The announced prospect of integrating the WB6 into the EU Roam Like at Home (RLAH) regime has large</w:t>
      </w:r>
      <w:r w:rsidR="00740500" w:rsidRPr="007601D4">
        <w:rPr>
          <w:rFonts w:eastAsia="Times New Roman" w:cs="Times New Roman"/>
        </w:rPr>
        <w:t>ly</w:t>
      </w:r>
      <w:r w:rsidRPr="007601D4">
        <w:rPr>
          <w:rFonts w:eastAsia="Times New Roman" w:cs="Times New Roman"/>
        </w:rPr>
        <w:t xml:space="preserve"> shifted stakeholders’ strategic focus and resource allocation towards that process, with the voluntary price reduction having served its purpose as a very effective transitional instrument. </w:t>
      </w:r>
    </w:p>
    <w:p w14:paraId="17898B3F" w14:textId="2283CC1D" w:rsidR="005D5140" w:rsidRPr="007601D4" w:rsidRDefault="00640630" w:rsidP="0004382C">
      <w:pPr>
        <w:spacing w:line="360" w:lineRule="auto"/>
      </w:pPr>
      <w:r w:rsidRPr="007601D4">
        <w:t xml:space="preserve">Discussions on roaming within the WB6 Working Group on Connectivity at meetings held in October and December 2025 and February 2026 </w:t>
      </w:r>
      <w:r w:rsidRPr="007601D4">
        <w:rPr>
          <w:rFonts w:eastAsia="Times New Roman" w:cs="Times New Roman"/>
        </w:rPr>
        <w:t>shifted toward</w:t>
      </w:r>
      <w:r w:rsidR="00920F70">
        <w:rPr>
          <w:rFonts w:eastAsia="Times New Roman" w:cs="Times New Roman"/>
        </w:rPr>
        <w:t>s</w:t>
      </w:r>
      <w:r w:rsidRPr="007601D4">
        <w:rPr>
          <w:rFonts w:eastAsia="Times New Roman" w:cs="Times New Roman"/>
        </w:rPr>
        <w:t xml:space="preserve"> support</w:t>
      </w:r>
      <w:r w:rsidR="00080FD6" w:rsidRPr="007601D4">
        <w:rPr>
          <w:rFonts w:eastAsia="Times New Roman" w:cs="Times New Roman"/>
        </w:rPr>
        <w:t>ing</w:t>
      </w:r>
      <w:r w:rsidRPr="007601D4">
        <w:rPr>
          <w:rFonts w:eastAsia="Times New Roman" w:cs="Times New Roman"/>
        </w:rPr>
        <w:t xml:space="preserve"> institutions in the process of introducin</w:t>
      </w:r>
      <w:r w:rsidR="0025478C" w:rsidRPr="007601D4">
        <w:rPr>
          <w:rFonts w:eastAsia="Times New Roman" w:cs="Times New Roman"/>
        </w:rPr>
        <w:t>g</w:t>
      </w:r>
      <w:r w:rsidRPr="007601D4">
        <w:rPr>
          <w:rFonts w:eastAsia="Times New Roman" w:cs="Times New Roman"/>
        </w:rPr>
        <w:t xml:space="preserve"> RLAH with the EU.</w:t>
      </w:r>
      <w:r w:rsidRPr="007601D4">
        <w:t xml:space="preserve"> In this context, RCC organi</w:t>
      </w:r>
      <w:r w:rsidR="007601D4">
        <w:t>s</w:t>
      </w:r>
      <w:r w:rsidRPr="007601D4">
        <w:t xml:space="preserve">ed regional consultations with </w:t>
      </w:r>
      <w:r w:rsidR="00523A8F" w:rsidRPr="00523A8F">
        <w:rPr>
          <w:szCs w:val="24"/>
        </w:rPr>
        <w:t>Directorate General for Communications Networks, Content and Technology (</w:t>
      </w:r>
      <w:r w:rsidRPr="007601D4">
        <w:t>DG CONNECT</w:t>
      </w:r>
      <w:r w:rsidR="00523A8F">
        <w:t>)</w:t>
      </w:r>
      <w:r w:rsidRPr="007601D4">
        <w:t xml:space="preserve"> to address alignment with the EU roaming acquis. </w:t>
      </w:r>
    </w:p>
    <w:p w14:paraId="70DA59B4" w14:textId="7B8F6F40" w:rsidR="00640630" w:rsidRPr="007601D4" w:rsidRDefault="004D6E83" w:rsidP="0004382C">
      <w:pPr>
        <w:spacing w:line="360" w:lineRule="auto"/>
      </w:pPr>
      <w:r w:rsidRPr="007601D4">
        <w:t xml:space="preserve">Following </w:t>
      </w:r>
      <w:r w:rsidR="00640630" w:rsidRPr="007601D4">
        <w:t>Moldova</w:t>
      </w:r>
      <w:r w:rsidRPr="007601D4">
        <w:t>’s</w:t>
      </w:r>
      <w:r w:rsidR="00640630" w:rsidRPr="007601D4">
        <w:t xml:space="preserve"> </w:t>
      </w:r>
      <w:r w:rsidR="00F54B20" w:rsidRPr="007601D4">
        <w:t>accession</w:t>
      </w:r>
      <w:r w:rsidR="00640630" w:rsidRPr="007601D4">
        <w:t xml:space="preserve"> </w:t>
      </w:r>
      <w:r w:rsidR="00F54B20" w:rsidRPr="007601D4">
        <w:t xml:space="preserve">to </w:t>
      </w:r>
      <w:r w:rsidR="00640630" w:rsidRPr="007601D4">
        <w:t>the RLAH regime with the EU on 1 January 2026, Moldovan experts presented their experience at the February 2026 meeting, highlighting key challenges and lessons learned. Additional discussions within the Working Group led to the development of a joint regional proposal</w:t>
      </w:r>
      <w:r w:rsidR="00C66893" w:rsidRPr="007601D4">
        <w:t>,</w:t>
      </w:r>
      <w:r w:rsidR="00640630" w:rsidRPr="007601D4">
        <w:t xml:space="preserve"> submitted to the International Telecommunication Union (ITU) in March 2026</w:t>
      </w:r>
      <w:r w:rsidR="00C66893" w:rsidRPr="007601D4">
        <w:t xml:space="preserve">. The proposal </w:t>
      </w:r>
      <w:r w:rsidR="00640630" w:rsidRPr="007601D4">
        <w:t>focus</w:t>
      </w:r>
      <w:r w:rsidR="00723723" w:rsidRPr="007601D4">
        <w:t>es</w:t>
      </w:r>
      <w:r w:rsidR="00640630" w:rsidRPr="007601D4">
        <w:t xml:space="preserve"> on capacity building </w:t>
      </w:r>
      <w:r w:rsidR="00DF7DF5" w:rsidRPr="007601D4">
        <w:t>in</w:t>
      </w:r>
      <w:r w:rsidR="00640630" w:rsidRPr="007601D4">
        <w:t xml:space="preserve"> radio-frequency spectrum, as well as on raising awareness of new technologies and services. These initiatives are envisaged to be implemented through a collaborative effort between the region and the ITU.</w:t>
      </w:r>
    </w:p>
    <w:p w14:paraId="5435F626" w14:textId="48ABE1E9" w:rsidR="00FB3942" w:rsidRPr="007601D4" w:rsidRDefault="00FB3942" w:rsidP="0004382C">
      <w:pPr>
        <w:spacing w:line="360" w:lineRule="auto"/>
        <w:rPr>
          <w:rFonts w:cs="Times New Roman"/>
          <w:bCs/>
          <w:szCs w:val="24"/>
        </w:rPr>
      </w:pPr>
      <w:bookmarkStart w:id="24" w:name="_Hlk135994163"/>
      <w:bookmarkEnd w:id="23"/>
      <w:r w:rsidRPr="007601D4">
        <w:rPr>
          <w:rFonts w:cs="Times New Roman"/>
          <w:szCs w:val="24"/>
        </w:rPr>
        <w:t xml:space="preserve">The RCC, with the support of the </w:t>
      </w:r>
      <w:r w:rsidR="00217324" w:rsidRPr="007601D4">
        <w:rPr>
          <w:rFonts w:cs="Times New Roman"/>
          <w:szCs w:val="24"/>
        </w:rPr>
        <w:t>EC</w:t>
      </w:r>
      <w:r w:rsidR="00CE136A" w:rsidRPr="007601D4">
        <w:rPr>
          <w:rFonts w:cs="Times New Roman"/>
          <w:szCs w:val="24"/>
        </w:rPr>
        <w:t>,</w:t>
      </w:r>
      <w:r w:rsidRPr="007601D4">
        <w:rPr>
          <w:rFonts w:cs="Times New Roman"/>
          <w:szCs w:val="24"/>
        </w:rPr>
        <w:t xml:space="preserve"> and jointly with the Western Balkan</w:t>
      </w:r>
      <w:r w:rsidR="003200D3">
        <w:rPr>
          <w:rFonts w:cs="Times New Roman"/>
          <w:szCs w:val="24"/>
        </w:rPr>
        <w:t>s</w:t>
      </w:r>
      <w:r w:rsidRPr="007601D4">
        <w:rPr>
          <w:rFonts w:cs="Times New Roman"/>
          <w:szCs w:val="24"/>
        </w:rPr>
        <w:t xml:space="preserve"> Cyber Capacity Centr</w:t>
      </w:r>
      <w:r w:rsidR="00E15661">
        <w:rPr>
          <w:rFonts w:cs="Times New Roman"/>
          <w:szCs w:val="24"/>
        </w:rPr>
        <w:t>e</w:t>
      </w:r>
      <w:r w:rsidRPr="007601D4">
        <w:rPr>
          <w:rFonts w:cs="Times New Roman"/>
          <w:szCs w:val="24"/>
        </w:rPr>
        <w:t xml:space="preserve"> (WB3C), successfully organised the </w:t>
      </w:r>
      <w:r w:rsidRPr="007601D4">
        <w:rPr>
          <w:rFonts w:cs="Times New Roman"/>
          <w:b/>
          <w:bCs/>
          <w:szCs w:val="24"/>
        </w:rPr>
        <w:t>High-Level Cybersecurity Conference – CyberPulse2025</w:t>
      </w:r>
      <w:r w:rsidRPr="007601D4">
        <w:rPr>
          <w:rFonts w:cs="Times New Roman"/>
          <w:szCs w:val="24"/>
        </w:rPr>
        <w:t xml:space="preserve"> on 2 July 2025, in Podgorica. </w:t>
      </w:r>
      <w:r w:rsidRPr="007601D4">
        <w:rPr>
          <w:rFonts w:cs="Times New Roman"/>
          <w:bCs/>
          <w:szCs w:val="24"/>
        </w:rPr>
        <w:t xml:space="preserve">The event brought representatives </w:t>
      </w:r>
      <w:r w:rsidR="00AA6298">
        <w:rPr>
          <w:rFonts w:cs="Times New Roman"/>
          <w:bCs/>
          <w:szCs w:val="24"/>
        </w:rPr>
        <w:t xml:space="preserve">from </w:t>
      </w:r>
      <w:r w:rsidRPr="007601D4">
        <w:rPr>
          <w:rFonts w:cs="Times New Roman"/>
          <w:bCs/>
          <w:szCs w:val="24"/>
        </w:rPr>
        <w:t xml:space="preserve">across </w:t>
      </w:r>
      <w:r w:rsidRPr="007601D4">
        <w:rPr>
          <w:rFonts w:cs="Times New Roman"/>
          <w:bCs/>
          <w:szCs w:val="24"/>
        </w:rPr>
        <w:lastRenderedPageBreak/>
        <w:t xml:space="preserve">the Western Balkans, including ministries and agencies responsible for cybersecurity, alongside participants from the EC, </w:t>
      </w:r>
      <w:r w:rsidRPr="007601D4">
        <w:rPr>
          <w:rFonts w:cs="Times New Roman"/>
          <w:szCs w:val="24"/>
        </w:rPr>
        <w:t>donor community, international organisations, the private sector, etc.</w:t>
      </w:r>
      <w:r w:rsidRPr="007601D4">
        <w:rPr>
          <w:rFonts w:cs="Times New Roman"/>
          <w:bCs/>
          <w:szCs w:val="24"/>
        </w:rPr>
        <w:t xml:space="preserve"> The conference attracted a diverse and distinguished audience of over 150 stakeholders, reflecting strong regional and international engagement </w:t>
      </w:r>
      <w:r w:rsidR="00CE136A" w:rsidRPr="007601D4">
        <w:rPr>
          <w:rFonts w:cs="Times New Roman"/>
          <w:bCs/>
          <w:szCs w:val="24"/>
        </w:rPr>
        <w:t>in</w:t>
      </w:r>
      <w:r w:rsidRPr="007601D4">
        <w:rPr>
          <w:rFonts w:cs="Times New Roman"/>
          <w:bCs/>
          <w:szCs w:val="24"/>
        </w:rPr>
        <w:t xml:space="preserve"> cybersecurity. </w:t>
      </w:r>
    </w:p>
    <w:bookmarkEnd w:id="24"/>
    <w:p w14:paraId="7BFE871A" w14:textId="0BF235FF" w:rsidR="00C72DEB" w:rsidRPr="007601D4" w:rsidRDefault="00FB3942" w:rsidP="0004382C">
      <w:pPr>
        <w:spacing w:line="360" w:lineRule="auto"/>
        <w:rPr>
          <w:rFonts w:cs="Times New Roman"/>
          <w:szCs w:val="24"/>
        </w:rPr>
      </w:pPr>
      <w:r w:rsidRPr="007601D4">
        <w:rPr>
          <w:rStyle w:val="normaltextrun"/>
          <w:rFonts w:cs="Times New Roman"/>
          <w:szCs w:val="24"/>
        </w:rPr>
        <w:t xml:space="preserve">The conference was complemented with a donor coordination meeting, held </w:t>
      </w:r>
      <w:r w:rsidRPr="007601D4">
        <w:rPr>
          <w:rFonts w:cs="Times New Roman"/>
          <w:bCs/>
          <w:szCs w:val="24"/>
        </w:rPr>
        <w:t>on 3</w:t>
      </w:r>
      <w:r w:rsidRPr="007601D4">
        <w:rPr>
          <w:rFonts w:cs="Times New Roman"/>
          <w:bCs/>
          <w:szCs w:val="24"/>
          <w:vertAlign w:val="superscript"/>
        </w:rPr>
        <w:t>rd</w:t>
      </w:r>
      <w:r w:rsidRPr="007601D4">
        <w:rPr>
          <w:rFonts w:cs="Times New Roman"/>
          <w:bCs/>
          <w:szCs w:val="24"/>
        </w:rPr>
        <w:t xml:space="preserve"> July 2025, during which the regional</w:t>
      </w:r>
      <w:r w:rsidR="00001118" w:rsidRPr="007601D4">
        <w:rPr>
          <w:rStyle w:val="normaltextrun"/>
          <w:rFonts w:cs="Times New Roman"/>
          <w:b/>
          <w:bCs/>
          <w:szCs w:val="24"/>
        </w:rPr>
        <w:t xml:space="preserve"> database for the identification of cybersecurity needs</w:t>
      </w:r>
      <w:r w:rsidRPr="007601D4">
        <w:rPr>
          <w:rFonts w:cs="Times New Roman"/>
          <w:bCs/>
          <w:szCs w:val="24"/>
        </w:rPr>
        <w:t xml:space="preserve"> was formally launched</w:t>
      </w:r>
      <w:r w:rsidR="00EB7723" w:rsidRPr="007601D4">
        <w:rPr>
          <w:rFonts w:cs="Times New Roman"/>
          <w:bCs/>
          <w:szCs w:val="24"/>
        </w:rPr>
        <w:t>. This</w:t>
      </w:r>
      <w:r w:rsidRPr="007601D4">
        <w:rPr>
          <w:rFonts w:cs="Times New Roman"/>
          <w:bCs/>
          <w:szCs w:val="24"/>
        </w:rPr>
        <w:t xml:space="preserve"> ma</w:t>
      </w:r>
      <w:r w:rsidR="00EB7723" w:rsidRPr="007601D4">
        <w:rPr>
          <w:rFonts w:cs="Times New Roman"/>
          <w:bCs/>
          <w:szCs w:val="24"/>
        </w:rPr>
        <w:t>r</w:t>
      </w:r>
      <w:r w:rsidRPr="007601D4">
        <w:rPr>
          <w:rFonts w:cs="Times New Roman"/>
          <w:bCs/>
          <w:szCs w:val="24"/>
        </w:rPr>
        <w:t>k</w:t>
      </w:r>
      <w:r w:rsidR="00EB7723" w:rsidRPr="007601D4">
        <w:rPr>
          <w:rFonts w:cs="Times New Roman"/>
          <w:bCs/>
          <w:szCs w:val="24"/>
        </w:rPr>
        <w:t>ed</w:t>
      </w:r>
      <w:r w:rsidRPr="007601D4">
        <w:rPr>
          <w:rFonts w:cs="Times New Roman"/>
          <w:bCs/>
          <w:szCs w:val="24"/>
        </w:rPr>
        <w:t xml:space="preserve"> an important step to</w:t>
      </w:r>
      <w:r w:rsidR="008B6E6A" w:rsidRPr="007601D4">
        <w:rPr>
          <w:rFonts w:cs="Times New Roman"/>
          <w:bCs/>
          <w:szCs w:val="24"/>
        </w:rPr>
        <w:t>ward</w:t>
      </w:r>
      <w:r w:rsidR="00920F70">
        <w:rPr>
          <w:rFonts w:cs="Times New Roman"/>
          <w:bCs/>
          <w:szCs w:val="24"/>
        </w:rPr>
        <w:t>s</w:t>
      </w:r>
      <w:r w:rsidRPr="007601D4">
        <w:rPr>
          <w:rFonts w:cs="Times New Roman"/>
          <w:bCs/>
          <w:szCs w:val="24"/>
        </w:rPr>
        <w:t xml:space="preserve"> enhanc</w:t>
      </w:r>
      <w:r w:rsidR="008B6E6A" w:rsidRPr="007601D4">
        <w:rPr>
          <w:rFonts w:cs="Times New Roman"/>
          <w:bCs/>
          <w:szCs w:val="24"/>
        </w:rPr>
        <w:t>ing</w:t>
      </w:r>
      <w:r w:rsidRPr="007601D4">
        <w:rPr>
          <w:rFonts w:cs="Times New Roman"/>
          <w:bCs/>
          <w:szCs w:val="24"/>
        </w:rPr>
        <w:t xml:space="preserve"> coo</w:t>
      </w:r>
      <w:r w:rsidR="008B6E6A" w:rsidRPr="007601D4">
        <w:rPr>
          <w:rFonts w:cs="Times New Roman"/>
          <w:bCs/>
          <w:szCs w:val="24"/>
        </w:rPr>
        <w:t>rdination</w:t>
      </w:r>
      <w:r w:rsidR="008579A2">
        <w:rPr>
          <w:rFonts w:cs="Times New Roman"/>
          <w:bCs/>
          <w:szCs w:val="24"/>
        </w:rPr>
        <w:t>,</w:t>
      </w:r>
      <w:r w:rsidRPr="007601D4">
        <w:rPr>
          <w:rFonts w:cs="Times New Roman"/>
          <w:bCs/>
          <w:szCs w:val="24"/>
        </w:rPr>
        <w:t xml:space="preserve"> </w:t>
      </w:r>
      <w:r w:rsidR="0095638C" w:rsidRPr="007601D4">
        <w:rPr>
          <w:rFonts w:cs="Times New Roman"/>
          <w:szCs w:val="24"/>
        </w:rPr>
        <w:t>cooperation and alignment in addressing cybersecurity challenges across the WB6. The database is the result of joint efforts by RCC, Integrative Internal Security Governance</w:t>
      </w:r>
      <w:r w:rsidR="001229E2" w:rsidRPr="007601D4">
        <w:rPr>
          <w:rFonts w:cs="Times New Roman"/>
          <w:szCs w:val="24"/>
        </w:rPr>
        <w:t xml:space="preserve"> (IISG</w:t>
      </w:r>
      <w:r w:rsidR="0095638C" w:rsidRPr="007601D4">
        <w:rPr>
          <w:rFonts w:cs="Times New Roman"/>
          <w:szCs w:val="24"/>
        </w:rPr>
        <w:t xml:space="preserve">), and the EC, which collaborated on its development. Designed as a secure, non-public platform, it aims to strengthen regional dialogue and coordination by enabling the structured exchange of cybersecurity priorities across the </w:t>
      </w:r>
      <w:r w:rsidR="00257DD1" w:rsidRPr="007601D4">
        <w:rPr>
          <w:rFonts w:cs="Times New Roman"/>
          <w:szCs w:val="24"/>
        </w:rPr>
        <w:t>WB6</w:t>
      </w:r>
      <w:r w:rsidR="0095638C" w:rsidRPr="007601D4">
        <w:rPr>
          <w:rFonts w:cs="Times New Roman"/>
          <w:szCs w:val="24"/>
        </w:rPr>
        <w:t>.</w:t>
      </w:r>
      <w:r w:rsidR="002F2325" w:rsidRPr="007601D4">
        <w:rPr>
          <w:rFonts w:eastAsia="Times New Roman" w:cs="Times New Roman"/>
          <w:szCs w:val="24"/>
        </w:rPr>
        <w:t xml:space="preserve"> The </w:t>
      </w:r>
      <w:r w:rsidR="00135369" w:rsidRPr="007601D4">
        <w:rPr>
          <w:rFonts w:eastAsia="Times New Roman" w:cs="Times New Roman"/>
          <w:szCs w:val="24"/>
        </w:rPr>
        <w:t>database has</w:t>
      </w:r>
      <w:r w:rsidR="002F2325" w:rsidRPr="007601D4">
        <w:rPr>
          <w:rFonts w:eastAsia="Times New Roman" w:cs="Times New Roman"/>
          <w:szCs w:val="24"/>
        </w:rPr>
        <w:t xml:space="preserve"> reach</w:t>
      </w:r>
      <w:r w:rsidR="008267D8" w:rsidRPr="007601D4">
        <w:rPr>
          <w:rFonts w:eastAsia="Times New Roman" w:cs="Times New Roman"/>
          <w:szCs w:val="24"/>
        </w:rPr>
        <w:t>ed</w:t>
      </w:r>
      <w:r w:rsidR="002F2325" w:rsidRPr="007601D4">
        <w:rPr>
          <w:rFonts w:eastAsia="Times New Roman" w:cs="Times New Roman"/>
          <w:szCs w:val="24"/>
        </w:rPr>
        <w:t xml:space="preserve"> 81 users across 29 institutions, confirming strong interest in </w:t>
      </w:r>
      <w:r w:rsidR="00135369" w:rsidRPr="007601D4">
        <w:rPr>
          <w:rFonts w:eastAsia="Times New Roman" w:cs="Times New Roman"/>
          <w:szCs w:val="24"/>
        </w:rPr>
        <w:t xml:space="preserve">enhanced </w:t>
      </w:r>
      <w:r w:rsidR="002F2325" w:rsidRPr="007601D4">
        <w:rPr>
          <w:rFonts w:eastAsia="Times New Roman" w:cs="Times New Roman"/>
          <w:szCs w:val="24"/>
        </w:rPr>
        <w:t>cybersecurity coordination.</w:t>
      </w:r>
      <w:r w:rsidR="008267D8" w:rsidRPr="007601D4">
        <w:rPr>
          <w:rFonts w:eastAsia="Times New Roman" w:cs="Times New Roman"/>
          <w:szCs w:val="24"/>
        </w:rPr>
        <w:t xml:space="preserve"> </w:t>
      </w:r>
      <w:r w:rsidR="00FF6585" w:rsidRPr="007601D4">
        <w:rPr>
          <w:rFonts w:cs="Times New Roman"/>
          <w:szCs w:val="24"/>
        </w:rPr>
        <w:t>It has also undergone technical upgrades and security testing, ensuring compliance with international standards and enhancing its reliability as a regional coordination tool. Over time,</w:t>
      </w:r>
      <w:r w:rsidR="00FC354A" w:rsidRPr="007601D4">
        <w:rPr>
          <w:rFonts w:cs="Times New Roman"/>
          <w:szCs w:val="24"/>
        </w:rPr>
        <w:t xml:space="preserve"> the database</w:t>
      </w:r>
      <w:r w:rsidR="00FF6585" w:rsidRPr="007601D4">
        <w:rPr>
          <w:rFonts w:cs="Times New Roman"/>
          <w:szCs w:val="24"/>
        </w:rPr>
        <w:t xml:space="preserve"> has </w:t>
      </w:r>
      <w:r w:rsidR="00217324" w:rsidRPr="007601D4">
        <w:rPr>
          <w:rFonts w:cs="Times New Roman"/>
          <w:szCs w:val="24"/>
        </w:rPr>
        <w:t>evolved</w:t>
      </w:r>
      <w:r w:rsidR="00FF6585" w:rsidRPr="007601D4">
        <w:rPr>
          <w:rFonts w:cs="Times New Roman"/>
          <w:szCs w:val="24"/>
        </w:rPr>
        <w:t xml:space="preserve"> from a static repository into a dynamic platform supporting real-time coordination and donor alignment.</w:t>
      </w:r>
    </w:p>
    <w:p w14:paraId="111F8014" w14:textId="7E7F484C" w:rsidR="00FB3942" w:rsidRPr="007601D4" w:rsidRDefault="00FB3942" w:rsidP="0004382C">
      <w:pPr>
        <w:spacing w:line="360" w:lineRule="auto"/>
        <w:rPr>
          <w:rFonts w:cs="Times New Roman"/>
          <w:szCs w:val="24"/>
        </w:rPr>
      </w:pPr>
      <w:r w:rsidRPr="007601D4">
        <w:rPr>
          <w:rFonts w:cs="Times New Roman"/>
          <w:szCs w:val="24"/>
        </w:rPr>
        <w:t xml:space="preserve">The </w:t>
      </w:r>
      <w:r w:rsidRPr="007601D4">
        <w:rPr>
          <w:rFonts w:cs="Times New Roman"/>
          <w:b/>
          <w:bCs/>
          <w:szCs w:val="24"/>
        </w:rPr>
        <w:t>7</w:t>
      </w:r>
      <w:r w:rsidRPr="007601D4">
        <w:rPr>
          <w:rFonts w:cs="Times New Roman"/>
          <w:b/>
          <w:bCs/>
          <w:szCs w:val="24"/>
          <w:vertAlign w:val="superscript"/>
        </w:rPr>
        <w:t>th</w:t>
      </w:r>
      <w:r w:rsidRPr="007601D4">
        <w:rPr>
          <w:rFonts w:cs="Times New Roman"/>
          <w:b/>
          <w:bCs/>
          <w:szCs w:val="24"/>
        </w:rPr>
        <w:t xml:space="preserve"> Western Balkans Digital Summit (WBDS)</w:t>
      </w:r>
      <w:r w:rsidRPr="007601D4">
        <w:rPr>
          <w:rFonts w:cs="Times New Roman"/>
          <w:szCs w:val="24"/>
        </w:rPr>
        <w:t xml:space="preserve"> took place in Skopje on 1 and 2 October 2025, bringing together key regional and international stakeholders to advance the digital agenda of the </w:t>
      </w:r>
      <w:r w:rsidR="00FC354A" w:rsidRPr="007601D4">
        <w:rPr>
          <w:rFonts w:cs="Times New Roman"/>
          <w:szCs w:val="24"/>
        </w:rPr>
        <w:t>WB6</w:t>
      </w:r>
      <w:r w:rsidRPr="007601D4">
        <w:rPr>
          <w:rFonts w:cs="Times New Roman"/>
          <w:szCs w:val="24"/>
        </w:rPr>
        <w:t xml:space="preserve">. The RCC played a central role in facilitating the preparation of the Summit, including coordinating organisational aspects and leading the drafting of the official Conclusions of the WBDS. It also supported the preparation of the </w:t>
      </w:r>
      <w:proofErr w:type="gramStart"/>
      <w:r w:rsidRPr="007601D4">
        <w:rPr>
          <w:rFonts w:cs="Times New Roman"/>
          <w:szCs w:val="24"/>
        </w:rPr>
        <w:t xml:space="preserve">agenda, </w:t>
      </w:r>
      <w:r w:rsidR="00C2728F">
        <w:rPr>
          <w:rFonts w:cs="Times New Roman"/>
          <w:szCs w:val="24"/>
        </w:rPr>
        <w:t>and</w:t>
      </w:r>
      <w:proofErr w:type="gramEnd"/>
      <w:r w:rsidR="00C2728F">
        <w:rPr>
          <w:rFonts w:cs="Times New Roman"/>
          <w:szCs w:val="24"/>
        </w:rPr>
        <w:t xml:space="preserve"> </w:t>
      </w:r>
      <w:r w:rsidRPr="007601D4">
        <w:rPr>
          <w:rFonts w:cs="Times New Roman"/>
          <w:szCs w:val="24"/>
        </w:rPr>
        <w:t>actively participat</w:t>
      </w:r>
      <w:r w:rsidR="00C2728F">
        <w:rPr>
          <w:rFonts w:cs="Times New Roman"/>
          <w:szCs w:val="24"/>
        </w:rPr>
        <w:t>ed</w:t>
      </w:r>
      <w:r w:rsidRPr="007601D4">
        <w:rPr>
          <w:rFonts w:cs="Times New Roman"/>
          <w:szCs w:val="24"/>
        </w:rPr>
        <w:t xml:space="preserve"> in several high-level panels</w:t>
      </w:r>
      <w:r w:rsidR="00C2728F">
        <w:rPr>
          <w:rFonts w:cs="Times New Roman"/>
          <w:szCs w:val="24"/>
        </w:rPr>
        <w:t xml:space="preserve"> and</w:t>
      </w:r>
      <w:r w:rsidRPr="007601D4">
        <w:rPr>
          <w:rFonts w:cs="Times New Roman"/>
          <w:szCs w:val="24"/>
        </w:rPr>
        <w:t xml:space="preserve"> discussions focused on regional connectivity and interoperability.</w:t>
      </w:r>
    </w:p>
    <w:p w14:paraId="008134B2" w14:textId="5EBD17DB" w:rsidR="00FB3942" w:rsidRPr="007601D4" w:rsidRDefault="00FB3942" w:rsidP="0004382C">
      <w:pPr>
        <w:spacing w:line="360" w:lineRule="auto"/>
        <w:rPr>
          <w:rFonts w:cs="Times New Roman"/>
          <w:szCs w:val="24"/>
        </w:rPr>
      </w:pPr>
      <w:r w:rsidRPr="007601D4">
        <w:rPr>
          <w:rFonts w:cs="Times New Roman"/>
          <w:szCs w:val="24"/>
        </w:rPr>
        <w:t xml:space="preserve">Further, the RCC supported the development of the two key policy documents, the </w:t>
      </w:r>
      <w:hyperlink r:id="rId61" w:history="1">
        <w:r w:rsidRPr="007601D4">
          <w:rPr>
            <w:rStyle w:val="Hyperlink"/>
            <w:rFonts w:eastAsia="Times New Roman" w:cs="Times New Roman"/>
            <w:b/>
            <w:bCs/>
            <w:szCs w:val="24"/>
          </w:rPr>
          <w:t>Joint Statement on Digitally Connected Western Balkans Six</w:t>
        </w:r>
      </w:hyperlink>
      <w:r w:rsidRPr="007601D4">
        <w:rPr>
          <w:rFonts w:cs="Times New Roman"/>
          <w:szCs w:val="24"/>
        </w:rPr>
        <w:t xml:space="preserve">, and the </w:t>
      </w:r>
      <w:hyperlink r:id="rId62" w:history="1">
        <w:r w:rsidRPr="007601D4">
          <w:rPr>
            <w:rStyle w:val="Hyperlink"/>
            <w:rFonts w:eastAsia="Times New Roman" w:cs="Times New Roman"/>
            <w:b/>
            <w:bCs/>
            <w:szCs w:val="24"/>
          </w:rPr>
          <w:t>Joint Statement on Achieving Western Balkans Six Interoperable Digital ID Wallets and Trust Services</w:t>
        </w:r>
      </w:hyperlink>
      <w:r w:rsidRPr="007601D4">
        <w:rPr>
          <w:rFonts w:cs="Times New Roman"/>
          <w:szCs w:val="24"/>
        </w:rPr>
        <w:t>, both of which were officially endorsed at the Summit. The Summit Conclusions reaffirmed the collective commitment of the WB6 to accelerate digital transformation across the region.</w:t>
      </w:r>
    </w:p>
    <w:p w14:paraId="77CF3154" w14:textId="77777777" w:rsidR="00FB3942" w:rsidRPr="007601D4" w:rsidRDefault="00FB3942" w:rsidP="0004382C">
      <w:pPr>
        <w:pStyle w:val="paragraph"/>
        <w:spacing w:before="120" w:beforeAutospacing="0" w:after="240" w:afterAutospacing="0" w:line="360" w:lineRule="auto"/>
        <w:jc w:val="both"/>
        <w:textAlignment w:val="baseline"/>
      </w:pPr>
      <w:r w:rsidRPr="007601D4">
        <w:lastRenderedPageBreak/>
        <w:t>The official preparations of the next</w:t>
      </w:r>
      <w:r w:rsidRPr="007601D4">
        <w:rPr>
          <w:bCs/>
        </w:rPr>
        <w:t xml:space="preserve"> WBDS</w:t>
      </w:r>
      <w:r w:rsidRPr="007601D4">
        <w:t xml:space="preserve"> started with the first WBDS Steering Committee meeting, held in May 2026, with Belgrade being the Host and following the order of the first cycle. </w:t>
      </w:r>
    </w:p>
    <w:p w14:paraId="62A46B36" w14:textId="48D72E91" w:rsidR="00FB3942" w:rsidRPr="007601D4" w:rsidRDefault="00FB3942" w:rsidP="0004382C">
      <w:pPr>
        <w:pStyle w:val="paragraph"/>
        <w:spacing w:before="120" w:beforeAutospacing="0" w:after="240" w:afterAutospacing="0" w:line="360" w:lineRule="auto"/>
        <w:jc w:val="both"/>
        <w:textAlignment w:val="baseline"/>
        <w:rPr>
          <w:rStyle w:val="normaltextrun"/>
        </w:rPr>
      </w:pPr>
      <w:r w:rsidRPr="007601D4">
        <w:rPr>
          <w:rStyle w:val="normaltextrun"/>
        </w:rPr>
        <w:t xml:space="preserve">As part of its continued efforts to systematically monitor digital transformation across the </w:t>
      </w:r>
      <w:proofErr w:type="gramStart"/>
      <w:r w:rsidR="00D01C92" w:rsidRPr="007601D4">
        <w:rPr>
          <w:rStyle w:val="normaltextrun"/>
        </w:rPr>
        <w:t>WB6</w:t>
      </w:r>
      <w:r w:rsidRPr="007601D4">
        <w:rPr>
          <w:rStyle w:val="normaltextrun"/>
        </w:rPr>
        <w:t>, and</w:t>
      </w:r>
      <w:proofErr w:type="gramEnd"/>
      <w:r w:rsidRPr="007601D4">
        <w:rPr>
          <w:rStyle w:val="normaltextrun"/>
        </w:rPr>
        <w:t xml:space="preserve"> building on established practise through the development of the </w:t>
      </w:r>
      <w:hyperlink r:id="rId63" w:history="1">
        <w:r w:rsidR="00962CB2" w:rsidRPr="007601D4">
          <w:rPr>
            <w:rStyle w:val="Hyperlink"/>
            <w:b/>
            <w:bCs/>
          </w:rPr>
          <w:t>Western Balkans Digital Economy and Society Index</w:t>
        </w:r>
      </w:hyperlink>
      <w:r w:rsidRPr="007601D4">
        <w:rPr>
          <w:rStyle w:val="normaltextrun"/>
          <w:b/>
          <w:bCs/>
        </w:rPr>
        <w:t xml:space="preserve"> (</w:t>
      </w:r>
      <w:r w:rsidR="006804C0" w:rsidRPr="007601D4">
        <w:rPr>
          <w:rStyle w:val="normaltextrun"/>
          <w:b/>
          <w:bCs/>
        </w:rPr>
        <w:t xml:space="preserve">WB </w:t>
      </w:r>
      <w:r w:rsidRPr="007601D4">
        <w:rPr>
          <w:rStyle w:val="normaltextrun"/>
          <w:b/>
          <w:bCs/>
        </w:rPr>
        <w:t xml:space="preserve">DESI) </w:t>
      </w:r>
      <w:r w:rsidRPr="007601D4">
        <w:rPr>
          <w:rStyle w:val="normaltextrun"/>
        </w:rPr>
        <w:t>reports, fully aligned with the EU DESI methodology, the RCC finalised the</w:t>
      </w:r>
      <w:r w:rsidR="002A0144" w:rsidRPr="007601D4">
        <w:rPr>
          <w:rStyle w:val="normaltextrun"/>
        </w:rPr>
        <w:t xml:space="preserve"> </w:t>
      </w:r>
      <w:hyperlink r:id="rId64" w:history="1">
        <w:r w:rsidR="007F63BA" w:rsidRPr="007601D4">
          <w:rPr>
            <w:rStyle w:val="Hyperlink"/>
          </w:rPr>
          <w:t>DESI 2025 Report</w:t>
        </w:r>
      </w:hyperlink>
      <w:r w:rsidR="00C63D60">
        <w:t>.</w:t>
      </w:r>
    </w:p>
    <w:p w14:paraId="58B1DA32" w14:textId="77777777" w:rsidR="00FB3942" w:rsidRPr="007601D4" w:rsidRDefault="00FB3942" w:rsidP="0004382C">
      <w:pPr>
        <w:pStyle w:val="paragraph"/>
        <w:spacing w:before="120" w:beforeAutospacing="0" w:after="240" w:afterAutospacing="0" w:line="360" w:lineRule="auto"/>
        <w:jc w:val="both"/>
        <w:textAlignment w:val="baseline"/>
        <w:rPr>
          <w:rStyle w:val="normaltextrun"/>
        </w:rPr>
      </w:pPr>
      <w:r w:rsidRPr="007601D4">
        <w:rPr>
          <w:rStyle w:val="normaltextrun"/>
        </w:rPr>
        <w:t>In November 2025, the RCC organised a dedicated workshop to present and clarify the methodological framework and analytical approach underpinning the Report. This edition provided a comprehensive assessment by calculating all DESI indicators for the WB6 over a two-year reference period. The Report was finalised in March 2026, with the accompanying online dashboard subsequently updated to reflect the latest data and insights. The preparations and work for the next DESI Report are planned to start in May 2026.</w:t>
      </w:r>
    </w:p>
    <w:p w14:paraId="70A48243" w14:textId="764FFCA2" w:rsidR="00C558B5" w:rsidRPr="007601D4" w:rsidRDefault="00FB3942" w:rsidP="00C558B5">
      <w:pPr>
        <w:spacing w:line="360" w:lineRule="auto"/>
        <w:rPr>
          <w:szCs w:val="24"/>
        </w:rPr>
      </w:pPr>
      <w:r w:rsidRPr="007601D4">
        <w:rPr>
          <w:szCs w:val="24"/>
        </w:rPr>
        <w:t>The RCC</w:t>
      </w:r>
      <w:r w:rsidRPr="007601D4">
        <w:rPr>
          <w:rFonts w:cs="Times New Roman"/>
          <w:szCs w:val="24"/>
        </w:rPr>
        <w:t>, in cooperation with the SIGMA/OECD Programme, Eastern Partnership Regional Fund for Public Administration Reforms (led by GIZ), and the Regional School of Public Administration (</w:t>
      </w:r>
      <w:proofErr w:type="spellStart"/>
      <w:r w:rsidRPr="007601D4">
        <w:rPr>
          <w:rFonts w:cs="Times New Roman"/>
          <w:szCs w:val="24"/>
        </w:rPr>
        <w:t>ReSPA</w:t>
      </w:r>
      <w:proofErr w:type="spellEnd"/>
      <w:r w:rsidRPr="007601D4">
        <w:rPr>
          <w:rFonts w:cs="Times New Roman"/>
          <w:szCs w:val="24"/>
        </w:rPr>
        <w:t xml:space="preserve">), organised </w:t>
      </w:r>
      <w:r w:rsidRPr="007601D4">
        <w:rPr>
          <w:rFonts w:eastAsia="Times New Roman" w:cs="Times New Roman"/>
          <w:szCs w:val="24"/>
        </w:rPr>
        <w:t xml:space="preserve">the </w:t>
      </w:r>
      <w:r w:rsidRPr="007601D4">
        <w:rPr>
          <w:rFonts w:eastAsia="Times New Roman" w:cs="Times New Roman"/>
          <w:b/>
          <w:bCs/>
          <w:szCs w:val="24"/>
        </w:rPr>
        <w:t>3</w:t>
      </w:r>
      <w:r w:rsidRPr="007601D4">
        <w:rPr>
          <w:rFonts w:eastAsia="Times New Roman" w:cs="Times New Roman"/>
          <w:b/>
          <w:bCs/>
          <w:szCs w:val="24"/>
          <w:vertAlign w:val="superscript"/>
        </w:rPr>
        <w:t>rd</w:t>
      </w:r>
      <w:r w:rsidRPr="007601D4">
        <w:rPr>
          <w:rFonts w:eastAsia="Times New Roman" w:cs="Times New Roman"/>
          <w:b/>
          <w:bCs/>
          <w:szCs w:val="24"/>
        </w:rPr>
        <w:t xml:space="preserve"> High-Level Data Protection Week</w:t>
      </w:r>
      <w:r w:rsidRPr="007601D4">
        <w:rPr>
          <w:rFonts w:eastAsia="Times New Roman" w:cs="Times New Roman"/>
          <w:szCs w:val="24"/>
        </w:rPr>
        <w:t xml:space="preserve"> from 1</w:t>
      </w:r>
      <w:r w:rsidR="0048470A">
        <w:rPr>
          <w:rFonts w:eastAsia="Times New Roman" w:cs="Times New Roman"/>
          <w:szCs w:val="24"/>
        </w:rPr>
        <w:t xml:space="preserve"> to </w:t>
      </w:r>
      <w:r w:rsidRPr="007601D4">
        <w:rPr>
          <w:rFonts w:eastAsia="Times New Roman" w:cs="Times New Roman"/>
          <w:szCs w:val="24"/>
        </w:rPr>
        <w:t xml:space="preserve">4 December 2025 in Brussels. The event was held in partnership with the </w:t>
      </w:r>
      <w:r w:rsidR="00217324" w:rsidRPr="007601D4">
        <w:rPr>
          <w:rFonts w:eastAsia="Times New Roman" w:cs="Times New Roman"/>
          <w:szCs w:val="24"/>
        </w:rPr>
        <w:t>EC</w:t>
      </w:r>
      <w:r w:rsidRPr="007601D4">
        <w:rPr>
          <w:rFonts w:eastAsia="Times New Roman" w:cs="Times New Roman"/>
          <w:szCs w:val="24"/>
        </w:rPr>
        <w:t xml:space="preserve">, </w:t>
      </w:r>
      <w:r w:rsidRPr="007601D4">
        <w:rPr>
          <w:rFonts w:cs="Times New Roman"/>
          <w:szCs w:val="24"/>
        </w:rPr>
        <w:t xml:space="preserve">European Data Protection Board (EDPB), and the European Data Protection Supervisor (EDPS). It served as a strategic platform for exploring the transformative potential and associated challenges of Artificial Intelligence (AI), while simultaneously strengthening the institutional capacities of Data Protection Authorities. In addition, the event further fostered knowledge exchange on </w:t>
      </w:r>
      <w:r w:rsidRPr="007601D4">
        <w:rPr>
          <w:szCs w:val="24"/>
        </w:rPr>
        <w:t>emerging technologies, developments within the evolving regulatory landscape, and other related policy and operational considerations.</w:t>
      </w:r>
    </w:p>
    <w:p w14:paraId="7B503B8E" w14:textId="14370E87" w:rsidR="00C558B5" w:rsidRPr="007601D4" w:rsidRDefault="00C558B5" w:rsidP="00C558B5">
      <w:pPr>
        <w:spacing w:line="360" w:lineRule="auto"/>
        <w:rPr>
          <w:szCs w:val="24"/>
        </w:rPr>
      </w:pPr>
      <w:r w:rsidRPr="007601D4">
        <w:rPr>
          <w:rFonts w:cs="Times New Roman"/>
          <w:szCs w:val="24"/>
        </w:rPr>
        <w:t xml:space="preserve">Further, the RCC kick-started the regional dialogue on </w:t>
      </w:r>
      <w:r w:rsidRPr="007601D4">
        <w:rPr>
          <w:rFonts w:cs="Times New Roman"/>
          <w:b/>
          <w:bCs/>
          <w:szCs w:val="24"/>
        </w:rPr>
        <w:t xml:space="preserve">Artificial Intelligence (AI) </w:t>
      </w:r>
      <w:r w:rsidRPr="007601D4">
        <w:rPr>
          <w:rFonts w:cs="Times New Roman"/>
          <w:szCs w:val="24"/>
        </w:rPr>
        <w:t xml:space="preserve">with organisation of the first regional meeting of the Working Group, organised on 13th and 14th May 2026, in Podgorica. The meeting served to discuss the results of the AI mapping exercise, jointly conducted with the UNDP, aiming to support further preparation of the AI Roadmap, one of the priorities outlined in the Common Regional Market Action Plan 2025–2028. </w:t>
      </w:r>
    </w:p>
    <w:p w14:paraId="68A7E5F4" w14:textId="77777777" w:rsidR="00C558B5" w:rsidRPr="007601D4" w:rsidRDefault="00C558B5" w:rsidP="0004382C">
      <w:pPr>
        <w:spacing w:line="360" w:lineRule="auto"/>
        <w:rPr>
          <w:szCs w:val="24"/>
        </w:rPr>
      </w:pPr>
    </w:p>
    <w:p w14:paraId="507A9774" w14:textId="5CEC4B17" w:rsidR="00596D97" w:rsidRPr="007601D4" w:rsidRDefault="00596D97" w:rsidP="0004382C">
      <w:pPr>
        <w:spacing w:line="360" w:lineRule="auto"/>
      </w:pPr>
      <w:r w:rsidRPr="007601D4">
        <w:lastRenderedPageBreak/>
        <w:t>The RCC has actively supported the WB6 in advancing regional recognition of advanced and qualified trust services, progressing toward</w:t>
      </w:r>
      <w:r w:rsidR="00920F70">
        <w:t>s</w:t>
      </w:r>
      <w:r w:rsidRPr="007601D4">
        <w:t xml:space="preserve"> inclusion in the EU Third Country Trusted List, and developing interoperable regional Digital ID wallets. This support has been delivered through targeted meetings and joint workshops with key partners, including CEFTA, GIZ (EU4Digital), and the World Bank.</w:t>
      </w:r>
      <w:r w:rsidR="00896E0E" w:rsidRPr="007601D4">
        <w:t xml:space="preserve"> These efforts resulted in the preparation and endorsement of a </w:t>
      </w:r>
      <w:hyperlink r:id="rId65" w:history="1">
        <w:r w:rsidR="00896E0E" w:rsidRPr="007601D4">
          <w:rPr>
            <w:rStyle w:val="Hyperlink"/>
            <w:b/>
            <w:bCs/>
          </w:rPr>
          <w:t>Joint Statement on Interoperability of Digital Identity Wallets and Trust Services</w:t>
        </w:r>
      </w:hyperlink>
      <w:r w:rsidR="00896E0E" w:rsidRPr="007601D4">
        <w:t xml:space="preserve"> by the </w:t>
      </w:r>
      <w:r w:rsidR="007230B4" w:rsidRPr="007601D4">
        <w:t>WB6</w:t>
      </w:r>
      <w:r w:rsidR="00896E0E" w:rsidRPr="007601D4">
        <w:t>. Through this statement, the commitment to advancing interoperable Digital Identity Wallets and trust services in line with EU standards</w:t>
      </w:r>
      <w:r w:rsidR="00712F32" w:rsidRPr="007601D4">
        <w:t xml:space="preserve"> </w:t>
      </w:r>
      <w:r w:rsidR="008C7279">
        <w:t>was</w:t>
      </w:r>
      <w:r w:rsidR="00712F32" w:rsidRPr="007601D4">
        <w:t xml:space="preserve"> reaffirmed</w:t>
      </w:r>
      <w:r w:rsidR="00896E0E" w:rsidRPr="007601D4">
        <w:t>.</w:t>
      </w:r>
    </w:p>
    <w:p w14:paraId="073B9DC4" w14:textId="3BA072A5" w:rsidR="00BC14BA" w:rsidRPr="007601D4" w:rsidRDefault="002F7F26" w:rsidP="0004382C">
      <w:pPr>
        <w:spacing w:line="360" w:lineRule="auto"/>
      </w:pPr>
      <w:r w:rsidRPr="007601D4">
        <w:t>The statement also welcomes establishing</w:t>
      </w:r>
      <w:r w:rsidR="00AE4B0C" w:rsidRPr="007601D4">
        <w:t xml:space="preserve"> </w:t>
      </w:r>
      <w:r w:rsidRPr="007601D4">
        <w:t xml:space="preserve">the RCC Platform on Regional Digital Identity Wallets and Interoperability of Trust Services as a central mechanism for political coordination, technical harmonisation, and knowledge exchange. It supports the launch of regional pilot use cases to demonstrate tangible benefits for citizens and businesses, and commits to strengthening regulatory and technical capacities, enhancing mutual recognition of electronic identification and trust services, and ensuring close coordination with partners such as CEFTA, </w:t>
      </w:r>
      <w:proofErr w:type="spellStart"/>
      <w:r w:rsidRPr="007601D4">
        <w:t>ReSPA</w:t>
      </w:r>
      <w:proofErr w:type="spellEnd"/>
      <w:r w:rsidRPr="007601D4">
        <w:t>, and GI</w:t>
      </w:r>
      <w:r w:rsidR="0081433A" w:rsidRPr="007601D4">
        <w:t xml:space="preserve">Z, </w:t>
      </w:r>
      <w:r w:rsidRPr="007601D4">
        <w:t>under RCC’s leadership</w:t>
      </w:r>
      <w:r w:rsidR="0081433A" w:rsidRPr="007601D4">
        <w:t xml:space="preserve"> and coordination </w:t>
      </w:r>
      <w:r w:rsidR="00BC14BA" w:rsidRPr="007601D4">
        <w:t>toward</w:t>
      </w:r>
      <w:r w:rsidR="00920F70">
        <w:t>s</w:t>
      </w:r>
      <w:r w:rsidR="00BC14BA" w:rsidRPr="007601D4">
        <w:t xml:space="preserve"> a trusted and interoperable regional digital ecosystem.</w:t>
      </w:r>
    </w:p>
    <w:p w14:paraId="15202858" w14:textId="740D2CD3" w:rsidR="00BC14BA" w:rsidRPr="007601D4" w:rsidRDefault="00022B1E" w:rsidP="0004382C">
      <w:pPr>
        <w:spacing w:line="360" w:lineRule="auto"/>
      </w:pPr>
      <w:r w:rsidRPr="007601D4">
        <w:t xml:space="preserve">Building on these achievements, the </w:t>
      </w:r>
      <w:r w:rsidR="00BC14BA" w:rsidRPr="007601D4">
        <w:t xml:space="preserve">RCC is currently developing </w:t>
      </w:r>
      <w:r w:rsidR="001766E6">
        <w:t xml:space="preserve">a </w:t>
      </w:r>
      <w:r w:rsidR="00BC14BA" w:rsidRPr="007601D4">
        <w:t>regional roadmap for implementation of Digital ID Wallets and</w:t>
      </w:r>
      <w:r w:rsidR="001766E6">
        <w:t>,</w:t>
      </w:r>
      <w:r w:rsidR="00BC14BA" w:rsidRPr="007601D4">
        <w:t xml:space="preserve"> </w:t>
      </w:r>
      <w:r w:rsidR="00B57796" w:rsidRPr="007601D4">
        <w:t xml:space="preserve">in cooperation </w:t>
      </w:r>
      <w:r w:rsidR="00BC14BA" w:rsidRPr="007601D4">
        <w:t xml:space="preserve">with the World </w:t>
      </w:r>
      <w:r w:rsidR="00B57796" w:rsidRPr="007601D4">
        <w:t>B</w:t>
      </w:r>
      <w:r w:rsidR="00BC14BA" w:rsidRPr="007601D4">
        <w:t>ank</w:t>
      </w:r>
      <w:r w:rsidR="00B57796" w:rsidRPr="007601D4">
        <w:t>, supporting</w:t>
      </w:r>
      <w:r w:rsidR="00BC14BA" w:rsidRPr="007601D4">
        <w:t xml:space="preserve"> </w:t>
      </w:r>
      <w:r w:rsidR="00B57796" w:rsidRPr="007601D4">
        <w:t>the</w:t>
      </w:r>
      <w:r w:rsidR="00BC14BA" w:rsidRPr="007601D4">
        <w:t xml:space="preserve"> development of </w:t>
      </w:r>
      <w:r w:rsidRPr="007601D4">
        <w:t xml:space="preserve">the Digital ID Wallets implementation </w:t>
      </w:r>
      <w:r w:rsidR="00BC14BA" w:rsidRPr="007601D4">
        <w:t>roadmaps for each WB6.</w:t>
      </w:r>
    </w:p>
    <w:p w14:paraId="5191DFC5" w14:textId="5E2F12A9" w:rsidR="00C61642" w:rsidRPr="007601D4" w:rsidRDefault="00C61642" w:rsidP="0004382C">
      <w:pPr>
        <w:spacing w:line="360" w:lineRule="auto"/>
      </w:pPr>
      <w:r w:rsidRPr="007601D4">
        <w:t xml:space="preserve">In May 2026, the RCC advanced regional digital integration by preparing a draft </w:t>
      </w:r>
      <w:r w:rsidR="000851AA" w:rsidRPr="007601D4">
        <w:t xml:space="preserve">regional </w:t>
      </w:r>
      <w:r w:rsidRPr="007601D4">
        <w:t xml:space="preserve">arrangement on the interoperability of </w:t>
      </w:r>
      <w:proofErr w:type="spellStart"/>
      <w:r w:rsidRPr="007601D4">
        <w:t>eIDs</w:t>
      </w:r>
      <w:proofErr w:type="spellEnd"/>
      <w:r w:rsidRPr="007601D4">
        <w:t xml:space="preserve"> and Digital ID Wallets. In cooperation with EU4Digital, it also developed a declaration on interoperable Digital ID Wallets and the launch of a regional pilot use case. These are expected to be adopted by the regional working group by the end of May 2026 and endorsed by the WB6 as Berlin Process deliverables, reinforcing their commitment to interoperability and accelerating practical implementation.</w:t>
      </w:r>
    </w:p>
    <w:p w14:paraId="4706F709" w14:textId="155AED4D" w:rsidR="00EF69C2" w:rsidRPr="007601D4" w:rsidRDefault="00837BD1" w:rsidP="0004382C">
      <w:pPr>
        <w:spacing w:line="360" w:lineRule="auto"/>
      </w:pPr>
      <w:r w:rsidRPr="007601D4">
        <w:t>In parallel, t</w:t>
      </w:r>
      <w:r w:rsidR="00BC14BA" w:rsidRPr="007601D4">
        <w:t xml:space="preserve">he first meeting of the </w:t>
      </w:r>
      <w:r w:rsidR="00BC14BA" w:rsidRPr="007601D4">
        <w:rPr>
          <w:b/>
          <w:bCs/>
        </w:rPr>
        <w:t>WB6 Working Group for an Improved Online Environment</w:t>
      </w:r>
      <w:r w:rsidR="00BC14BA" w:rsidRPr="007601D4">
        <w:t xml:space="preserve"> (DSA &amp; DMA) marked a concrete step toward</w:t>
      </w:r>
      <w:r w:rsidR="00920F70">
        <w:t>s</w:t>
      </w:r>
      <w:r w:rsidR="00BC14BA" w:rsidRPr="007601D4">
        <w:t xml:space="preserve"> strengthening operational readiness for the implementation of the Digital Services Act (DSA) and the Digital Markets Act (DMA) </w:t>
      </w:r>
      <w:r w:rsidR="00865C27" w:rsidRPr="007601D4">
        <w:t>across the</w:t>
      </w:r>
      <w:r w:rsidR="00BC14BA" w:rsidRPr="007601D4">
        <w:t xml:space="preserve"> region</w:t>
      </w:r>
      <w:r w:rsidR="00865C27" w:rsidRPr="007601D4">
        <w:t xml:space="preserve">. </w:t>
      </w:r>
      <w:r w:rsidR="004F65D7" w:rsidRPr="007601D4">
        <w:t xml:space="preserve">This progress supports alignment with the EU Digital Single Market and is expected to deliver tangible outcomes, including improved online safety, </w:t>
      </w:r>
      <w:r w:rsidR="004F65D7" w:rsidRPr="007601D4">
        <w:lastRenderedPageBreak/>
        <w:t>stronger protection of fundamental rights, and a more fair and competitive digital market</w:t>
      </w:r>
      <w:r w:rsidR="00EF69C2" w:rsidRPr="007601D4">
        <w:t>. By addressing anti-competitive practices of major online platforms and gatekeepers, these efforts contribute to creating a more transparent and trusted digital environment.</w:t>
      </w:r>
    </w:p>
    <w:p w14:paraId="01A26862" w14:textId="1C856621" w:rsidR="007F32BB" w:rsidRPr="007601D4" w:rsidRDefault="007F32BB" w:rsidP="0004382C">
      <w:pPr>
        <w:spacing w:line="360" w:lineRule="auto"/>
      </w:pPr>
      <w:r w:rsidRPr="007601D4">
        <w:t xml:space="preserve">The DSA &amp; DMA advanced regional alignment by adopting the </w:t>
      </w:r>
      <w:r w:rsidRPr="007601D4">
        <w:rPr>
          <w:b/>
          <w:bCs/>
        </w:rPr>
        <w:t>draft Regional Roadmap for the implementation of the DSA and the DMA</w:t>
      </w:r>
      <w:r w:rsidRPr="007601D4">
        <w:t xml:space="preserve"> in April 2026, together with specific roadmaps for each WB6 partner. These roadmaps are grounded in key findings and tailored recommendations derived from bilateral consultations and questionnaires provided by relevant institutions and regulatory authorities across the WB6. The process resulted in the identification of priority actions and concrete next steps, strengthening institutional preparedness and accelerating alignment with the EU digital regulatory framework.</w:t>
      </w:r>
    </w:p>
    <w:p w14:paraId="1CB9F741" w14:textId="77777777" w:rsidR="00F43493" w:rsidRPr="007601D4" w:rsidRDefault="001C1D50" w:rsidP="0004382C">
      <w:pPr>
        <w:pStyle w:val="Heading2"/>
        <w:spacing w:line="360" w:lineRule="auto"/>
      </w:pPr>
      <w:bookmarkStart w:id="25" w:name="_Toc133825140"/>
      <w:bookmarkStart w:id="26" w:name="_Toc228451783"/>
      <w:r w:rsidRPr="007601D4">
        <w:t>A4. Sustainable Growth and Climate Change Resilience</w:t>
      </w:r>
      <w:bookmarkEnd w:id="25"/>
      <w:bookmarkEnd w:id="26"/>
    </w:p>
    <w:p w14:paraId="53414626" w14:textId="105AC448" w:rsidR="00204369" w:rsidRPr="007601D4" w:rsidRDefault="00204369" w:rsidP="0004382C">
      <w:pPr>
        <w:spacing w:line="360" w:lineRule="auto"/>
        <w:rPr>
          <w:rFonts w:cs="Times New Roman"/>
          <w:szCs w:val="24"/>
        </w:rPr>
      </w:pPr>
      <w:r w:rsidRPr="007601D4">
        <w:rPr>
          <w:rFonts w:cs="Times New Roman"/>
          <w:szCs w:val="24"/>
        </w:rPr>
        <w:t xml:space="preserve">During the reporting period, the Regional Cooperation Council actively led and implemented </w:t>
      </w:r>
      <w:r w:rsidR="003737B6">
        <w:rPr>
          <w:rFonts w:cs="Times New Roman"/>
          <w:szCs w:val="24"/>
        </w:rPr>
        <w:t xml:space="preserve">the </w:t>
      </w:r>
      <w:r w:rsidRPr="007601D4">
        <w:rPr>
          <w:rFonts w:cs="Times New Roman"/>
          <w:szCs w:val="24"/>
        </w:rPr>
        <w:t xml:space="preserve">Green Agenda for the Western Balkans (GAWB) processes, ensuring structured regional coordination, monitoring, and political guidance. Implementation was supported through regular meetings of the Regional Working Group on the GAWB, RCC-led monitoring and reporting mechanisms, and the organisation of the GAWB Ministerial Meeting, which provided high-level political direction. </w:t>
      </w:r>
    </w:p>
    <w:p w14:paraId="7B4C76C8" w14:textId="77777777" w:rsidR="00204369" w:rsidRPr="007601D4" w:rsidRDefault="00204369" w:rsidP="0004382C">
      <w:pPr>
        <w:spacing w:line="360" w:lineRule="auto"/>
        <w:rPr>
          <w:rFonts w:cs="Times New Roman"/>
          <w:szCs w:val="24"/>
        </w:rPr>
      </w:pPr>
      <w:r w:rsidRPr="007601D4">
        <w:rPr>
          <w:rFonts w:cs="Times New Roman"/>
          <w:szCs w:val="24"/>
        </w:rPr>
        <w:t xml:space="preserve">A key analytical output of the RCC during this period was the </w:t>
      </w:r>
      <w:hyperlink r:id="rId66" w:tgtFrame="_new" w:history="1">
        <w:r w:rsidRPr="007601D4">
          <w:rPr>
            <w:rStyle w:val="Hyperlink"/>
            <w:rFonts w:cs="Times New Roman"/>
            <w:b/>
            <w:bCs/>
            <w:szCs w:val="24"/>
          </w:rPr>
          <w:t>2024 Report on the Implementation of the Green Agenda for the Western Balkans Action Plan (GARI)</w:t>
        </w:r>
      </w:hyperlink>
      <w:r w:rsidRPr="007601D4">
        <w:rPr>
          <w:rFonts w:cs="Times New Roman"/>
          <w:b/>
          <w:bCs/>
          <w:szCs w:val="24"/>
        </w:rPr>
        <w:t>,</w:t>
      </w:r>
      <w:r w:rsidRPr="007601D4">
        <w:rPr>
          <w:rFonts w:cs="Times New Roman"/>
          <w:szCs w:val="24"/>
        </w:rPr>
        <w:t xml:space="preserve"> providing a comprehensive assessment of regional progress across all Green Agenda pillars.</w:t>
      </w:r>
    </w:p>
    <w:p w14:paraId="25BDD34F" w14:textId="443329CB" w:rsidR="00204369" w:rsidRPr="007601D4" w:rsidRDefault="00204369" w:rsidP="0004382C">
      <w:pPr>
        <w:spacing w:line="360" w:lineRule="auto"/>
        <w:rPr>
          <w:rFonts w:cs="Times New Roman"/>
          <w:szCs w:val="24"/>
        </w:rPr>
      </w:pPr>
      <w:r w:rsidRPr="007601D4">
        <w:rPr>
          <w:rFonts w:cs="Times New Roman"/>
          <w:szCs w:val="24"/>
        </w:rPr>
        <w:t xml:space="preserve">The report confirmed that the WB6 have made overall progress in implementing the Green Agenda, although unevenly due to differing domestic contexts and capacities. Notable advances include the adoption of climate adaptation strategies aligned with EU frameworks, increased deployment of nature-based solutions, strengthened renewable energy policies, and ongoing preparation of domestic Energy and Climate Plans (NECPs) with the support of the Energy Community Secretariat. At the same time, persistent challenges remain in areas such as grid stability, energy poverty, coal phase-out, and infrastructure for alternative fuels. Progress has also been recorded in depollution investments, circular economy development, agricultural reforms, and biodiversity protection, supported by key regional partners including </w:t>
      </w:r>
      <w:r w:rsidRPr="007601D4">
        <w:rPr>
          <w:rFonts w:cs="Times New Roman"/>
          <w:szCs w:val="24"/>
        </w:rPr>
        <w:lastRenderedPageBreak/>
        <w:t xml:space="preserve">the Transport Community, </w:t>
      </w:r>
      <w:r w:rsidR="00DD5F12" w:rsidRPr="007601D4">
        <w:rPr>
          <w:rFonts w:eastAsia="Times New Roman" w:cs="Times New Roman"/>
          <w:szCs w:val="24"/>
        </w:rPr>
        <w:t>Standing Working Group on Regional Rural Development (</w:t>
      </w:r>
      <w:r w:rsidRPr="007601D4">
        <w:rPr>
          <w:rFonts w:cs="Times New Roman"/>
          <w:szCs w:val="24"/>
        </w:rPr>
        <w:t>SWG RRD</w:t>
      </w:r>
      <w:r w:rsidR="00DD5F12" w:rsidRPr="007601D4">
        <w:rPr>
          <w:rFonts w:cs="Times New Roman"/>
          <w:szCs w:val="24"/>
        </w:rPr>
        <w:t>)</w:t>
      </w:r>
      <w:r w:rsidRPr="007601D4">
        <w:rPr>
          <w:rFonts w:cs="Times New Roman"/>
          <w:szCs w:val="24"/>
        </w:rPr>
        <w:t xml:space="preserve">, and </w:t>
      </w:r>
      <w:r w:rsidR="000C0FB4" w:rsidRPr="007601D4">
        <w:rPr>
          <w:rFonts w:eastAsia="Times New Roman" w:cs="Times New Roman"/>
          <w:szCs w:val="24"/>
        </w:rPr>
        <w:t>International Union for Conservation of Nature (</w:t>
      </w:r>
      <w:r w:rsidRPr="007601D4">
        <w:rPr>
          <w:rFonts w:cs="Times New Roman"/>
          <w:szCs w:val="24"/>
        </w:rPr>
        <w:t>IUCN</w:t>
      </w:r>
      <w:r w:rsidR="000C0FB4" w:rsidRPr="007601D4">
        <w:rPr>
          <w:rFonts w:cs="Times New Roman"/>
          <w:szCs w:val="24"/>
        </w:rPr>
        <w:t>)</w:t>
      </w:r>
      <w:r w:rsidRPr="007601D4">
        <w:rPr>
          <w:rFonts w:cs="Times New Roman"/>
          <w:szCs w:val="24"/>
        </w:rPr>
        <w:t xml:space="preserve">. </w:t>
      </w:r>
    </w:p>
    <w:p w14:paraId="5FE67C99" w14:textId="65D75E0C" w:rsidR="006A096B" w:rsidRPr="007601D4" w:rsidRDefault="006A096B" w:rsidP="0004382C">
      <w:pPr>
        <w:spacing w:line="360" w:lineRule="auto"/>
        <w:rPr>
          <w:rFonts w:cs="Times New Roman"/>
          <w:szCs w:val="24"/>
        </w:rPr>
      </w:pPr>
      <w:r w:rsidRPr="007601D4">
        <w:rPr>
          <w:rFonts w:cs="Times New Roman"/>
          <w:szCs w:val="24"/>
        </w:rPr>
        <w:t xml:space="preserve">During the reporting period, the </w:t>
      </w:r>
      <w:r w:rsidR="00EC3135" w:rsidRPr="007601D4">
        <w:rPr>
          <w:rFonts w:cs="Times New Roman"/>
          <w:szCs w:val="24"/>
        </w:rPr>
        <w:t>RCC</w:t>
      </w:r>
      <w:r w:rsidRPr="007601D4">
        <w:rPr>
          <w:rFonts w:cs="Times New Roman"/>
          <w:szCs w:val="24"/>
        </w:rPr>
        <w:t xml:space="preserve"> focused on three key priorities: revising the GAWB Action Plan, preparing the Second Ministerial Meeting on the GAWB, and finalising GAWB-related deliverables under the Berlin Process 2025, ensuring coordinated regional progress and alignment with EU frameworks.</w:t>
      </w:r>
    </w:p>
    <w:p w14:paraId="5115E85D" w14:textId="16E40666" w:rsidR="00A73C13" w:rsidRPr="007601D4" w:rsidRDefault="00204369" w:rsidP="0004382C">
      <w:pPr>
        <w:spacing w:line="360" w:lineRule="auto"/>
        <w:rPr>
          <w:rFonts w:cs="Times New Roman"/>
          <w:szCs w:val="24"/>
        </w:rPr>
      </w:pPr>
      <w:r w:rsidRPr="007601D4">
        <w:rPr>
          <w:rFonts w:cs="Times New Roman"/>
          <w:szCs w:val="24"/>
        </w:rPr>
        <w:t>The revision of the GAWB was led by the RCC in close cooperation with WB6 ministries through the RWG GAWB, under the political guidance of PM Sherpas, and with support from the E</w:t>
      </w:r>
      <w:r w:rsidR="00A672B7" w:rsidRPr="007601D4">
        <w:rPr>
          <w:rFonts w:cs="Times New Roman"/>
          <w:szCs w:val="24"/>
        </w:rPr>
        <w:t>C</w:t>
      </w:r>
      <w:r w:rsidRPr="007601D4">
        <w:rPr>
          <w:rFonts w:cs="Times New Roman"/>
          <w:szCs w:val="24"/>
        </w:rPr>
        <w:t xml:space="preserve"> and key regional coordinators under GAWB A</w:t>
      </w:r>
      <w:r w:rsidR="00814153" w:rsidRPr="007601D4">
        <w:rPr>
          <w:rFonts w:cs="Times New Roman"/>
          <w:szCs w:val="24"/>
        </w:rPr>
        <w:t>ction Plan (GAWB AP)</w:t>
      </w:r>
      <w:r w:rsidRPr="007601D4">
        <w:rPr>
          <w:rFonts w:cs="Times New Roman"/>
          <w:szCs w:val="24"/>
        </w:rPr>
        <w:t xml:space="preserve">, including the Energy Community, Transport Community, Standing Working Group on Regional Rural Development, and International Union for Conservation of Nature. The process was inclusive, engaging stakeholders from the private sector, civil society, donors, and local authorities, </w:t>
      </w:r>
      <w:r w:rsidR="00A73C13" w:rsidRPr="007601D4">
        <w:rPr>
          <w:rFonts w:cs="Times New Roman"/>
          <w:szCs w:val="24"/>
        </w:rPr>
        <w:t>including through a public call for CSO input.</w:t>
      </w:r>
    </w:p>
    <w:p w14:paraId="0DC9C4CF" w14:textId="6A9C4436" w:rsidR="007C60AF" w:rsidRPr="007601D4" w:rsidRDefault="00204369" w:rsidP="0004382C">
      <w:pPr>
        <w:spacing w:line="360" w:lineRule="auto"/>
        <w:rPr>
          <w:rFonts w:cs="Times New Roman"/>
          <w:szCs w:val="24"/>
        </w:rPr>
      </w:pPr>
      <w:r w:rsidRPr="007601D4">
        <w:rPr>
          <w:rFonts w:cs="Times New Roman"/>
          <w:szCs w:val="24"/>
        </w:rPr>
        <w:t xml:space="preserve">The revised Action Plan </w:t>
      </w:r>
      <w:r w:rsidR="006679E9" w:rsidRPr="007601D4">
        <w:rPr>
          <w:rFonts w:cs="Times New Roman"/>
          <w:szCs w:val="24"/>
        </w:rPr>
        <w:t xml:space="preserve">delivers concrete results: it reduces the number of actions </w:t>
      </w:r>
      <w:r w:rsidRPr="007601D4">
        <w:rPr>
          <w:rFonts w:cs="Times New Roman"/>
          <w:szCs w:val="24"/>
        </w:rPr>
        <w:t>from 58 to 41, introduces clear timelines and milestones t</w:t>
      </w:r>
      <w:r w:rsidR="006679E9" w:rsidRPr="007601D4">
        <w:rPr>
          <w:rFonts w:cs="Times New Roman"/>
          <w:szCs w:val="24"/>
        </w:rPr>
        <w:t>hrough</w:t>
      </w:r>
      <w:r w:rsidR="001C4064">
        <w:rPr>
          <w:rFonts w:cs="Times New Roman"/>
          <w:szCs w:val="24"/>
        </w:rPr>
        <w:t>out</w:t>
      </w:r>
      <w:r w:rsidRPr="007601D4">
        <w:rPr>
          <w:rFonts w:cs="Times New Roman"/>
          <w:szCs w:val="24"/>
        </w:rPr>
        <w:t xml:space="preserve"> 2030, and </w:t>
      </w:r>
      <w:r w:rsidR="00A4584D" w:rsidRPr="007601D4">
        <w:rPr>
          <w:rFonts w:cs="Times New Roman"/>
          <w:szCs w:val="24"/>
        </w:rPr>
        <w:t xml:space="preserve">strengthens </w:t>
      </w:r>
      <w:r w:rsidR="00F21D0F" w:rsidRPr="007601D4">
        <w:rPr>
          <w:rFonts w:cs="Times New Roman"/>
          <w:szCs w:val="24"/>
        </w:rPr>
        <w:t>alignment</w:t>
      </w:r>
      <w:r w:rsidR="00A4584D" w:rsidRPr="007601D4">
        <w:rPr>
          <w:rFonts w:cs="Times New Roman"/>
          <w:szCs w:val="24"/>
        </w:rPr>
        <w:t xml:space="preserve"> </w:t>
      </w:r>
      <w:r w:rsidR="00F21D0F" w:rsidRPr="007601D4">
        <w:rPr>
          <w:rFonts w:cs="Times New Roman"/>
          <w:szCs w:val="24"/>
        </w:rPr>
        <w:t xml:space="preserve">with EU </w:t>
      </w:r>
      <w:r w:rsidR="005D099D" w:rsidRPr="007601D4">
        <w:rPr>
          <w:rFonts w:cs="Times New Roman"/>
          <w:szCs w:val="24"/>
        </w:rPr>
        <w:t>acquis and global</w:t>
      </w:r>
      <w:r w:rsidR="00694ADE" w:rsidRPr="007601D4">
        <w:rPr>
          <w:rFonts w:cs="Times New Roman"/>
          <w:szCs w:val="24"/>
        </w:rPr>
        <w:t xml:space="preserve"> </w:t>
      </w:r>
      <w:r w:rsidRPr="007601D4">
        <w:rPr>
          <w:rFonts w:cs="Times New Roman"/>
          <w:szCs w:val="24"/>
        </w:rPr>
        <w:t>framework</w:t>
      </w:r>
      <w:r w:rsidR="00921ABA" w:rsidRPr="007601D4">
        <w:rPr>
          <w:rFonts w:cs="Times New Roman"/>
          <w:szCs w:val="24"/>
        </w:rPr>
        <w:t xml:space="preserve">. </w:t>
      </w:r>
      <w:r w:rsidR="00986FF5" w:rsidRPr="007601D4">
        <w:rPr>
          <w:rFonts w:cs="Times New Roman"/>
          <w:szCs w:val="24"/>
        </w:rPr>
        <w:t>It also integrates key regional deliverables, mainstreams climate adaptation, reinforces the social dimension through just transition and energy poverty measures, and introduces SMART indicators to enable measurable progress and stronger accountability.</w:t>
      </w:r>
      <w:r w:rsidR="008702F6" w:rsidRPr="007601D4">
        <w:rPr>
          <w:rFonts w:cs="Times New Roman"/>
          <w:szCs w:val="24"/>
        </w:rPr>
        <w:t xml:space="preserve"> </w:t>
      </w:r>
    </w:p>
    <w:p w14:paraId="2B5169C6" w14:textId="5F81401E" w:rsidR="00204369" w:rsidRPr="007601D4" w:rsidRDefault="00063ECF" w:rsidP="0004382C">
      <w:pPr>
        <w:spacing w:line="360" w:lineRule="auto"/>
        <w:rPr>
          <w:rFonts w:cs="Times New Roman"/>
          <w:szCs w:val="24"/>
        </w:rPr>
      </w:pPr>
      <w:r w:rsidRPr="007601D4">
        <w:rPr>
          <w:rFonts w:cs="Times New Roman"/>
          <w:szCs w:val="24"/>
        </w:rPr>
        <w:t xml:space="preserve">In parallel, all Green Agenda–related deliverables under the 2025 Berlin Process were finalised through RCC and RWG GAWB </w:t>
      </w:r>
      <w:r w:rsidR="006F286B" w:rsidRPr="007601D4">
        <w:rPr>
          <w:rFonts w:cs="Times New Roman"/>
          <w:szCs w:val="24"/>
        </w:rPr>
        <w:t xml:space="preserve">facilitation and </w:t>
      </w:r>
      <w:r w:rsidRPr="007601D4">
        <w:rPr>
          <w:rFonts w:cs="Times New Roman"/>
          <w:szCs w:val="24"/>
        </w:rPr>
        <w:t>coordination and formally endorsed at the Second Ministerial Meeting on the GAWB.</w:t>
      </w:r>
      <w:r w:rsidR="004A48A2">
        <w:rPr>
          <w:rFonts w:cs="Times New Roman"/>
          <w:szCs w:val="24"/>
        </w:rPr>
        <w:t xml:space="preserve"> </w:t>
      </w:r>
      <w:r w:rsidR="00204369" w:rsidRPr="007601D4">
        <w:rPr>
          <w:rFonts w:cs="Times New Roman"/>
          <w:szCs w:val="24"/>
        </w:rPr>
        <w:t>The Second Ministerial Meeting on the GAWB was held on 14–15 October in Dubrovnik under the UK-hosted Berlin Process. The meeting was organised by the RCC in partnership with the Federal Ministry for Economic Cooperation and Development of Germany</w:t>
      </w:r>
      <w:r w:rsidR="004A48A2">
        <w:rPr>
          <w:rFonts w:cs="Times New Roman"/>
          <w:szCs w:val="24"/>
        </w:rPr>
        <w:t xml:space="preserve"> and</w:t>
      </w:r>
      <w:r w:rsidR="00204369" w:rsidRPr="007601D4">
        <w:rPr>
          <w:rFonts w:cs="Times New Roman"/>
          <w:szCs w:val="24"/>
        </w:rPr>
        <w:t xml:space="preserve"> </w:t>
      </w:r>
      <w:r w:rsidR="004A48A2">
        <w:rPr>
          <w:rFonts w:cs="Times New Roman"/>
          <w:szCs w:val="24"/>
        </w:rPr>
        <w:t>t</w:t>
      </w:r>
      <w:r w:rsidR="00204369" w:rsidRPr="007601D4">
        <w:rPr>
          <w:rFonts w:cs="Times New Roman"/>
          <w:szCs w:val="24"/>
        </w:rPr>
        <w:t>he Ministry of Environmental Protection and Green Transition of Croatia</w:t>
      </w:r>
      <w:r w:rsidR="004A48A2">
        <w:rPr>
          <w:rFonts w:cs="Times New Roman"/>
          <w:szCs w:val="24"/>
        </w:rPr>
        <w:t>,</w:t>
      </w:r>
      <w:r w:rsidR="00204369" w:rsidRPr="007601D4">
        <w:rPr>
          <w:rFonts w:cs="Times New Roman"/>
          <w:szCs w:val="24"/>
        </w:rPr>
        <w:t xml:space="preserve"> and supported by the </w:t>
      </w:r>
      <w:r w:rsidR="00A672B7" w:rsidRPr="007601D4">
        <w:rPr>
          <w:rFonts w:cs="Times New Roman"/>
          <w:szCs w:val="24"/>
        </w:rPr>
        <w:t>EC</w:t>
      </w:r>
      <w:r w:rsidR="00204369" w:rsidRPr="007601D4">
        <w:rPr>
          <w:rFonts w:cs="Times New Roman"/>
          <w:szCs w:val="24"/>
        </w:rPr>
        <w:t xml:space="preserve">. As the highest annual forum on the Green Agenda, it built on the outcomes of the Hamburg Ministerial and marked a significant step forward in strengthening regional cooperation and political ownership. The meeting resulted in the endorsement of the Dubrovnik Declaration, reaffirming high-level commitment to the Green Agenda and endorsing key regional deliverables: </w:t>
      </w:r>
    </w:p>
    <w:p w14:paraId="6D53A72B" w14:textId="65E3D135" w:rsidR="00204369" w:rsidRPr="007601D4" w:rsidRDefault="00267264" w:rsidP="0004382C">
      <w:pPr>
        <w:pStyle w:val="ListParagraph"/>
        <w:numPr>
          <w:ilvl w:val="0"/>
          <w:numId w:val="18"/>
        </w:numPr>
        <w:spacing w:line="360" w:lineRule="auto"/>
        <w:rPr>
          <w:rStyle w:val="Hyperlink"/>
          <w:rFonts w:cs="Times New Roman"/>
          <w:szCs w:val="24"/>
        </w:rPr>
      </w:pPr>
      <w:r w:rsidRPr="007601D4">
        <w:rPr>
          <w:rFonts w:cs="Times New Roman"/>
          <w:szCs w:val="24"/>
        </w:rPr>
        <w:lastRenderedPageBreak/>
        <w:fldChar w:fldCharType="begin"/>
      </w:r>
      <w:r w:rsidRPr="007601D4">
        <w:rPr>
          <w:rFonts w:cs="Times New Roman"/>
          <w:szCs w:val="24"/>
        </w:rPr>
        <w:instrText>HYPERLINK "mailto:https://www.rcc.int/pubs/217/revised-green-agenda-action-plan-20252030"</w:instrText>
      </w:r>
      <w:r w:rsidRPr="007601D4">
        <w:rPr>
          <w:rFonts w:cs="Times New Roman"/>
          <w:szCs w:val="24"/>
        </w:rPr>
      </w:r>
      <w:r w:rsidRPr="007601D4">
        <w:rPr>
          <w:rFonts w:cs="Times New Roman"/>
          <w:szCs w:val="24"/>
        </w:rPr>
        <w:fldChar w:fldCharType="separate"/>
      </w:r>
      <w:r w:rsidR="00204369" w:rsidRPr="007601D4">
        <w:rPr>
          <w:rStyle w:val="Hyperlink"/>
          <w:rFonts w:cs="Times New Roman"/>
          <w:szCs w:val="24"/>
        </w:rPr>
        <w:t>The Revised GAWB Action Plan (2025-2030);</w:t>
      </w:r>
    </w:p>
    <w:p w14:paraId="3D411F72" w14:textId="7FF76467" w:rsidR="00204369" w:rsidRPr="007601D4" w:rsidRDefault="00267264" w:rsidP="0004382C">
      <w:pPr>
        <w:pStyle w:val="ListParagraph"/>
        <w:numPr>
          <w:ilvl w:val="0"/>
          <w:numId w:val="18"/>
        </w:numPr>
        <w:spacing w:line="360" w:lineRule="auto"/>
        <w:rPr>
          <w:rFonts w:cs="Times New Roman"/>
          <w:szCs w:val="24"/>
        </w:rPr>
      </w:pPr>
      <w:r w:rsidRPr="007601D4">
        <w:rPr>
          <w:rFonts w:cs="Times New Roman"/>
          <w:szCs w:val="24"/>
        </w:rPr>
        <w:fldChar w:fldCharType="end"/>
      </w:r>
      <w:hyperlink r:id="rId67" w:history="1">
        <w:r w:rsidR="00204369" w:rsidRPr="007601D4">
          <w:rPr>
            <w:rStyle w:val="Hyperlink"/>
            <w:rFonts w:cs="Times New Roman"/>
            <w:szCs w:val="24"/>
          </w:rPr>
          <w:t>WB6 Climate Adaptation Roadmap</w:t>
        </w:r>
      </w:hyperlink>
      <w:r w:rsidR="004945E6" w:rsidRPr="007601D4">
        <w:rPr>
          <w:rFonts w:cs="Times New Roman"/>
          <w:szCs w:val="24"/>
        </w:rPr>
        <w:t xml:space="preserve"> </w:t>
      </w:r>
      <w:r w:rsidR="00204369" w:rsidRPr="007601D4">
        <w:rPr>
          <w:rFonts w:cs="Times New Roman"/>
          <w:szCs w:val="24"/>
        </w:rPr>
        <w:t>-</w:t>
      </w:r>
      <w:r w:rsidR="00204369" w:rsidRPr="007601D4">
        <w:t xml:space="preserve"> </w:t>
      </w:r>
      <w:r w:rsidR="00204369" w:rsidRPr="007601D4">
        <w:rPr>
          <w:rFonts w:cs="Times New Roman"/>
          <w:szCs w:val="24"/>
        </w:rPr>
        <w:t xml:space="preserve">providing a strategic framework and recommendations for developing a Regional Adaptation Strategy by 2026 to strengthen resilience across key sectors aligned with the EU Adaptation </w:t>
      </w:r>
      <w:r w:rsidR="00540276" w:rsidRPr="007601D4">
        <w:rPr>
          <w:rFonts w:cs="Times New Roman"/>
          <w:szCs w:val="24"/>
        </w:rPr>
        <w:t>Strategy</w:t>
      </w:r>
      <w:r w:rsidR="00F34887">
        <w:rPr>
          <w:rFonts w:cs="Times New Roman"/>
          <w:szCs w:val="24"/>
        </w:rPr>
        <w:t>;</w:t>
      </w:r>
    </w:p>
    <w:p w14:paraId="066037F4" w14:textId="50D3C139" w:rsidR="00204369" w:rsidRPr="007601D4" w:rsidRDefault="00204369" w:rsidP="0004382C">
      <w:pPr>
        <w:pStyle w:val="ListParagraph"/>
        <w:numPr>
          <w:ilvl w:val="0"/>
          <w:numId w:val="18"/>
        </w:numPr>
        <w:spacing w:line="360" w:lineRule="auto"/>
        <w:rPr>
          <w:rFonts w:cs="Times New Roman"/>
          <w:szCs w:val="24"/>
        </w:rPr>
      </w:pPr>
      <w:hyperlink r:id="rId68" w:history="1">
        <w:r w:rsidRPr="007601D4">
          <w:rPr>
            <w:rStyle w:val="Hyperlink"/>
            <w:rFonts w:cs="Times New Roman"/>
            <w:szCs w:val="24"/>
          </w:rPr>
          <w:t>Regional Action Plan on Plastic Pollution Prevention, including Marine Litter</w:t>
        </w:r>
      </w:hyperlink>
      <w:r w:rsidRPr="007601D4">
        <w:rPr>
          <w:rFonts w:cs="Times New Roman"/>
          <w:szCs w:val="24"/>
        </w:rPr>
        <w:t xml:space="preserve">- </w:t>
      </w:r>
      <w:r w:rsidRPr="007601D4">
        <w:rPr>
          <w:rFonts w:cs="Times New Roman"/>
        </w:rPr>
        <w:t>which</w:t>
      </w:r>
      <w:r w:rsidRPr="007601D4">
        <w:t xml:space="preserve"> </w:t>
      </w:r>
      <w:r w:rsidRPr="007601D4">
        <w:rPr>
          <w:rFonts w:cs="Times New Roman"/>
          <w:szCs w:val="24"/>
        </w:rPr>
        <w:t xml:space="preserve">operationalises the 2023 Joint Statement through concrete targets and measures to reduce single-use plastics (SUP), enhance recycling, and protect ecosystems, including phasing out the most polluting SUPs and improving regional standards by </w:t>
      </w:r>
      <w:r w:rsidR="00540276" w:rsidRPr="007601D4">
        <w:rPr>
          <w:rFonts w:cs="Times New Roman"/>
          <w:szCs w:val="24"/>
        </w:rPr>
        <w:t>2030</w:t>
      </w:r>
      <w:r w:rsidR="00F34887">
        <w:rPr>
          <w:rFonts w:cs="Times New Roman"/>
          <w:szCs w:val="24"/>
        </w:rPr>
        <w:t>;</w:t>
      </w:r>
    </w:p>
    <w:p w14:paraId="344F2F75" w14:textId="66A880A5" w:rsidR="00204369" w:rsidRPr="007601D4" w:rsidRDefault="00204369" w:rsidP="0004382C">
      <w:pPr>
        <w:pStyle w:val="ListParagraph"/>
        <w:numPr>
          <w:ilvl w:val="0"/>
          <w:numId w:val="18"/>
        </w:numPr>
        <w:spacing w:line="360" w:lineRule="auto"/>
        <w:rPr>
          <w:rFonts w:cs="Times New Roman"/>
          <w:szCs w:val="24"/>
        </w:rPr>
      </w:pPr>
      <w:hyperlink r:id="rId69" w:history="1">
        <w:r w:rsidRPr="007601D4">
          <w:rPr>
            <w:rStyle w:val="Hyperlink"/>
            <w:rFonts w:cs="Times New Roman"/>
            <w:szCs w:val="24"/>
          </w:rPr>
          <w:t>Outline of WB6 Biodiversity Strategic Plan</w:t>
        </w:r>
      </w:hyperlink>
      <w:r w:rsidR="00FF0C03">
        <w:t xml:space="preserve"> </w:t>
      </w:r>
      <w:r w:rsidR="00FF0C03">
        <w:rPr>
          <w:rFonts w:cs="Times New Roman"/>
          <w:szCs w:val="24"/>
        </w:rPr>
        <w:t>–</w:t>
      </w:r>
      <w:r w:rsidRPr="007601D4">
        <w:rPr>
          <w:rFonts w:cs="Times New Roman"/>
          <w:szCs w:val="24"/>
        </w:rPr>
        <w:t xml:space="preserve"> </w:t>
      </w:r>
      <w:r w:rsidR="00FF0C03">
        <w:rPr>
          <w:rFonts w:cs="Times New Roman"/>
          <w:szCs w:val="24"/>
        </w:rPr>
        <w:t xml:space="preserve">which </w:t>
      </w:r>
      <w:r w:rsidRPr="007601D4">
        <w:rPr>
          <w:rFonts w:cs="Times New Roman"/>
          <w:szCs w:val="24"/>
        </w:rPr>
        <w:t xml:space="preserve">sets the foundation for a regional response to biodiversity loss, aligning with EU and global frameworks while defining targets for conservation (30% protected areas) and ecosystem restoration to guide the full Plan’s development; </w:t>
      </w:r>
      <w:r w:rsidR="00F34887">
        <w:rPr>
          <w:rFonts w:cs="Times New Roman"/>
          <w:szCs w:val="24"/>
        </w:rPr>
        <w:t>and</w:t>
      </w:r>
    </w:p>
    <w:p w14:paraId="5CDC6E99" w14:textId="695C2B15" w:rsidR="00204369" w:rsidRPr="007601D4" w:rsidRDefault="00204369" w:rsidP="0004382C">
      <w:pPr>
        <w:pStyle w:val="ListParagraph"/>
        <w:numPr>
          <w:ilvl w:val="0"/>
          <w:numId w:val="18"/>
        </w:numPr>
        <w:spacing w:line="360" w:lineRule="auto"/>
        <w:rPr>
          <w:rFonts w:cs="Times New Roman"/>
          <w:szCs w:val="24"/>
        </w:rPr>
      </w:pPr>
      <w:hyperlink r:id="rId70" w:history="1">
        <w:r w:rsidRPr="007601D4">
          <w:rPr>
            <w:rStyle w:val="Hyperlink"/>
            <w:rFonts w:cs="Times New Roman"/>
            <w:szCs w:val="24"/>
          </w:rPr>
          <w:t>GARI 2024</w:t>
        </w:r>
      </w:hyperlink>
      <w:r w:rsidRPr="007601D4">
        <w:rPr>
          <w:rFonts w:cs="Times New Roman"/>
          <w:szCs w:val="24"/>
        </w:rPr>
        <w:t xml:space="preserve">.  </w:t>
      </w:r>
    </w:p>
    <w:p w14:paraId="3349AC7F" w14:textId="50269F4A" w:rsidR="006D421B" w:rsidRPr="007601D4" w:rsidRDefault="00204369" w:rsidP="0004382C">
      <w:pPr>
        <w:spacing w:line="360" w:lineRule="auto"/>
        <w:rPr>
          <w:rFonts w:cs="Times New Roman"/>
          <w:szCs w:val="24"/>
        </w:rPr>
      </w:pPr>
      <w:r w:rsidRPr="007601D4">
        <w:rPr>
          <w:rFonts w:cs="Times New Roman"/>
          <w:szCs w:val="24"/>
        </w:rPr>
        <w:t>To maximise impact, ensure strategic alignment, and optimise the use of available support, the RCC organised the Donor Coordination Meeting on GAWB on 15 October,</w:t>
      </w:r>
      <w:r w:rsidR="004953BA" w:rsidRPr="007601D4">
        <w:rPr>
          <w:rFonts w:cs="Times New Roman"/>
          <w:szCs w:val="24"/>
        </w:rPr>
        <w:t xml:space="preserve"> alongside </w:t>
      </w:r>
      <w:r w:rsidRPr="007601D4">
        <w:rPr>
          <w:rFonts w:cs="Times New Roman"/>
          <w:szCs w:val="24"/>
        </w:rPr>
        <w:t xml:space="preserve">the Ministerial </w:t>
      </w:r>
      <w:r w:rsidR="00406396">
        <w:rPr>
          <w:rFonts w:cs="Times New Roman"/>
          <w:szCs w:val="24"/>
        </w:rPr>
        <w:t>M</w:t>
      </w:r>
      <w:r w:rsidRPr="007601D4">
        <w:rPr>
          <w:rFonts w:cs="Times New Roman"/>
          <w:szCs w:val="24"/>
        </w:rPr>
        <w:t>eeting in Dubrovnik. Th</w:t>
      </w:r>
      <w:r w:rsidR="004953BA" w:rsidRPr="007601D4">
        <w:rPr>
          <w:rFonts w:cs="Times New Roman"/>
          <w:szCs w:val="24"/>
        </w:rPr>
        <w:t>e</w:t>
      </w:r>
      <w:r w:rsidRPr="007601D4">
        <w:rPr>
          <w:rFonts w:cs="Times New Roman"/>
          <w:szCs w:val="24"/>
        </w:rPr>
        <w:t xml:space="preserve"> meeting </w:t>
      </w:r>
      <w:r w:rsidR="004953BA" w:rsidRPr="007601D4">
        <w:rPr>
          <w:rFonts w:cs="Times New Roman"/>
          <w:szCs w:val="24"/>
        </w:rPr>
        <w:t xml:space="preserve">served </w:t>
      </w:r>
      <w:r w:rsidR="006D421B" w:rsidRPr="007601D4">
        <w:rPr>
          <w:rFonts w:cs="Times New Roman"/>
          <w:szCs w:val="24"/>
        </w:rPr>
        <w:t>as a</w:t>
      </w:r>
      <w:r w:rsidRPr="007601D4">
        <w:rPr>
          <w:rFonts w:cs="Times New Roman"/>
          <w:szCs w:val="24"/>
        </w:rPr>
        <w:t xml:space="preserve"> structural platform for dialogue between the donor community and the WB6 authorities, focusing </w:t>
      </w:r>
      <w:r w:rsidR="006D421B" w:rsidRPr="007601D4">
        <w:rPr>
          <w:rFonts w:cs="Times New Roman"/>
          <w:szCs w:val="24"/>
        </w:rPr>
        <w:t>on priority</w:t>
      </w:r>
      <w:r w:rsidRPr="007601D4">
        <w:rPr>
          <w:rFonts w:cs="Times New Roman"/>
          <w:szCs w:val="24"/>
        </w:rPr>
        <w:t xml:space="preserve"> investment needs, opportunities for joint donor interventions, and </w:t>
      </w:r>
      <w:r w:rsidR="00D30C04" w:rsidRPr="007601D4">
        <w:rPr>
          <w:rFonts w:cs="Times New Roman"/>
          <w:szCs w:val="24"/>
        </w:rPr>
        <w:t xml:space="preserve">improved </w:t>
      </w:r>
      <w:r w:rsidRPr="007601D4">
        <w:rPr>
          <w:rFonts w:cs="Times New Roman"/>
          <w:szCs w:val="24"/>
        </w:rPr>
        <w:t xml:space="preserve">coordination </w:t>
      </w:r>
      <w:r w:rsidR="00D30C04" w:rsidRPr="007601D4">
        <w:rPr>
          <w:rFonts w:cs="Times New Roman"/>
          <w:szCs w:val="24"/>
        </w:rPr>
        <w:t>across</w:t>
      </w:r>
      <w:r w:rsidRPr="007601D4">
        <w:rPr>
          <w:rFonts w:cs="Times New Roman"/>
          <w:szCs w:val="24"/>
        </w:rPr>
        <w:t xml:space="preserve"> ongoing and </w:t>
      </w:r>
      <w:r w:rsidR="00D30C04" w:rsidRPr="007601D4">
        <w:rPr>
          <w:rFonts w:cs="Times New Roman"/>
          <w:szCs w:val="24"/>
        </w:rPr>
        <w:t xml:space="preserve">planned </w:t>
      </w:r>
      <w:r w:rsidRPr="007601D4">
        <w:rPr>
          <w:rFonts w:cs="Times New Roman"/>
          <w:szCs w:val="24"/>
        </w:rPr>
        <w:t xml:space="preserve">initiatives. It also </w:t>
      </w:r>
      <w:r w:rsidR="00D06C39" w:rsidRPr="007601D4">
        <w:rPr>
          <w:rFonts w:cs="Times New Roman"/>
          <w:szCs w:val="24"/>
        </w:rPr>
        <w:t>enabled an</w:t>
      </w:r>
      <w:r w:rsidRPr="007601D4">
        <w:rPr>
          <w:rFonts w:cs="Times New Roman"/>
          <w:szCs w:val="24"/>
        </w:rPr>
        <w:t xml:space="preserve"> </w:t>
      </w:r>
      <w:r w:rsidR="007A4995" w:rsidRPr="007601D4">
        <w:rPr>
          <w:rFonts w:cs="Times New Roman"/>
          <w:szCs w:val="24"/>
        </w:rPr>
        <w:t>exchang</w:t>
      </w:r>
      <w:r w:rsidR="003451D7">
        <w:rPr>
          <w:rFonts w:cs="Times New Roman"/>
          <w:szCs w:val="24"/>
        </w:rPr>
        <w:t>e</w:t>
      </w:r>
      <w:r w:rsidR="007A4995" w:rsidRPr="007601D4">
        <w:rPr>
          <w:rFonts w:cs="Times New Roman"/>
          <w:szCs w:val="24"/>
        </w:rPr>
        <w:t xml:space="preserve"> on</w:t>
      </w:r>
      <w:r w:rsidRPr="007601D4">
        <w:rPr>
          <w:rFonts w:cs="Times New Roman"/>
          <w:szCs w:val="24"/>
        </w:rPr>
        <w:t xml:space="preserve"> the implementation status of the Sofia Declaration, </w:t>
      </w:r>
      <w:r w:rsidR="007A4995" w:rsidRPr="007601D4">
        <w:rPr>
          <w:rFonts w:cs="Times New Roman"/>
          <w:szCs w:val="24"/>
        </w:rPr>
        <w:t>helping align</w:t>
      </w:r>
      <w:r w:rsidRPr="007601D4">
        <w:rPr>
          <w:rFonts w:cs="Times New Roman"/>
          <w:szCs w:val="24"/>
        </w:rPr>
        <w:t xml:space="preserve"> </w:t>
      </w:r>
      <w:r w:rsidR="00ED3B12" w:rsidRPr="007601D4">
        <w:rPr>
          <w:rFonts w:cs="Times New Roman"/>
          <w:szCs w:val="24"/>
        </w:rPr>
        <w:t>donor supported</w:t>
      </w:r>
      <w:r w:rsidRPr="007601D4">
        <w:rPr>
          <w:rFonts w:cs="Times New Roman"/>
          <w:szCs w:val="24"/>
        </w:rPr>
        <w:t xml:space="preserve"> programmes with regional strategies and strengthen partnerships </w:t>
      </w:r>
      <w:r w:rsidR="002E4A87" w:rsidRPr="007601D4">
        <w:rPr>
          <w:rFonts w:cs="Times New Roman"/>
          <w:szCs w:val="24"/>
        </w:rPr>
        <w:t xml:space="preserve">with </w:t>
      </w:r>
      <w:r w:rsidRPr="007601D4">
        <w:rPr>
          <w:rFonts w:cs="Times New Roman"/>
          <w:szCs w:val="24"/>
        </w:rPr>
        <w:t xml:space="preserve">the WB6. WB6 representatives presented their programmes, outlined funding priorities, </w:t>
      </w:r>
      <w:r w:rsidR="00984104" w:rsidRPr="007601D4">
        <w:rPr>
          <w:rFonts w:cs="Times New Roman"/>
          <w:szCs w:val="24"/>
        </w:rPr>
        <w:t xml:space="preserve">and </w:t>
      </w:r>
      <w:r w:rsidR="007A4995" w:rsidRPr="007601D4">
        <w:rPr>
          <w:rFonts w:cs="Times New Roman"/>
          <w:szCs w:val="24"/>
        </w:rPr>
        <w:t>proposed new</w:t>
      </w:r>
      <w:r w:rsidRPr="007601D4">
        <w:rPr>
          <w:rFonts w:cs="Times New Roman"/>
          <w:szCs w:val="24"/>
        </w:rPr>
        <w:t xml:space="preserve"> project ideas, </w:t>
      </w:r>
      <w:r w:rsidR="00984104" w:rsidRPr="007601D4">
        <w:rPr>
          <w:rFonts w:cs="Times New Roman"/>
          <w:szCs w:val="24"/>
        </w:rPr>
        <w:t xml:space="preserve">while </w:t>
      </w:r>
      <w:r w:rsidR="007A4995" w:rsidRPr="007601D4">
        <w:rPr>
          <w:rFonts w:cs="Times New Roman"/>
          <w:szCs w:val="24"/>
        </w:rPr>
        <w:t>identifying practical</w:t>
      </w:r>
      <w:r w:rsidR="00984104" w:rsidRPr="007601D4">
        <w:rPr>
          <w:rFonts w:cs="Times New Roman"/>
          <w:szCs w:val="24"/>
        </w:rPr>
        <w:t xml:space="preserve"> measures to</w:t>
      </w:r>
      <w:r w:rsidR="00820E0F" w:rsidRPr="007601D4">
        <w:rPr>
          <w:rFonts w:cs="Times New Roman"/>
          <w:szCs w:val="24"/>
        </w:rPr>
        <w:t xml:space="preserve"> </w:t>
      </w:r>
      <w:r w:rsidR="007A4995" w:rsidRPr="007601D4">
        <w:rPr>
          <w:rFonts w:cs="Times New Roman"/>
          <w:szCs w:val="24"/>
        </w:rPr>
        <w:t>enhance the</w:t>
      </w:r>
      <w:r w:rsidRPr="007601D4">
        <w:rPr>
          <w:rFonts w:cs="Times New Roman"/>
          <w:szCs w:val="24"/>
        </w:rPr>
        <w:t xml:space="preserve"> region’s capacity to absorb and effectively utilise available financial resources. Overall, the Ministerial Meeting brought together around 120 participants</w:t>
      </w:r>
      <w:r w:rsidR="006D421B" w:rsidRPr="007601D4">
        <w:rPr>
          <w:rFonts w:cs="Times New Roman"/>
          <w:szCs w:val="24"/>
        </w:rPr>
        <w:t>, reflecting strong stakeholder engagement.</w:t>
      </w:r>
    </w:p>
    <w:p w14:paraId="10DC1413" w14:textId="35DCC71E" w:rsidR="00204369" w:rsidRPr="007601D4" w:rsidRDefault="00204369" w:rsidP="0004382C">
      <w:pPr>
        <w:spacing w:line="360" w:lineRule="auto"/>
        <w:rPr>
          <w:rFonts w:cs="Times New Roman"/>
          <w:szCs w:val="24"/>
        </w:rPr>
      </w:pPr>
      <w:r w:rsidRPr="007601D4">
        <w:rPr>
          <w:rFonts w:cs="Times New Roman"/>
          <w:szCs w:val="24"/>
        </w:rPr>
        <w:t xml:space="preserve">On 26–27 November 2025, the RCC, in cooperation with Deutsche Gesellschaft für Internationale Zusammenarbeit and the IHE Delft Institute for Water Education – Global Sanitation Graduate School (GSGS), organised an Extended Meeting of the RWG GAWB in Budva, dedicated to the water and sanitation sector. The meeting </w:t>
      </w:r>
      <w:r w:rsidR="00AB1E29" w:rsidRPr="007601D4">
        <w:rPr>
          <w:rFonts w:cs="Times New Roman"/>
          <w:szCs w:val="24"/>
        </w:rPr>
        <w:t xml:space="preserve">advanced </w:t>
      </w:r>
      <w:r w:rsidRPr="007601D4">
        <w:rPr>
          <w:rFonts w:cs="Times New Roman"/>
          <w:szCs w:val="24"/>
        </w:rPr>
        <w:t xml:space="preserve">RCC’s mandate to </w:t>
      </w:r>
      <w:r w:rsidR="0078303E" w:rsidRPr="007601D4">
        <w:rPr>
          <w:rFonts w:cs="Times New Roman"/>
          <w:szCs w:val="24"/>
        </w:rPr>
        <w:t>support Green</w:t>
      </w:r>
      <w:r w:rsidRPr="007601D4">
        <w:rPr>
          <w:rFonts w:cs="Times New Roman"/>
          <w:szCs w:val="24"/>
        </w:rPr>
        <w:t xml:space="preserve"> Agenda</w:t>
      </w:r>
      <w:r w:rsidR="00AB1E29" w:rsidRPr="007601D4">
        <w:rPr>
          <w:rFonts w:cs="Times New Roman"/>
          <w:szCs w:val="24"/>
        </w:rPr>
        <w:t xml:space="preserve"> implementation</w:t>
      </w:r>
      <w:r w:rsidRPr="007601D4">
        <w:rPr>
          <w:rFonts w:cs="Times New Roman"/>
          <w:szCs w:val="24"/>
        </w:rPr>
        <w:t xml:space="preserve"> by strengthening regional dialogue and capacity development, with a focus on water depollution and sanitation management in emergency contexts. Discussions addressed two </w:t>
      </w:r>
      <w:r w:rsidR="00362AC0" w:rsidRPr="007601D4">
        <w:rPr>
          <w:rFonts w:cs="Times New Roman"/>
          <w:szCs w:val="24"/>
        </w:rPr>
        <w:t xml:space="preserve">critical </w:t>
      </w:r>
      <w:r w:rsidRPr="007601D4">
        <w:rPr>
          <w:rFonts w:cs="Times New Roman"/>
          <w:szCs w:val="24"/>
        </w:rPr>
        <w:t xml:space="preserve">regional challenges: the shortage of qualified </w:t>
      </w:r>
      <w:r w:rsidRPr="007601D4">
        <w:rPr>
          <w:rFonts w:cs="Times New Roman"/>
          <w:szCs w:val="24"/>
        </w:rPr>
        <w:lastRenderedPageBreak/>
        <w:t xml:space="preserve">professionals and the </w:t>
      </w:r>
      <w:r w:rsidR="00362AC0" w:rsidRPr="007601D4">
        <w:rPr>
          <w:rFonts w:cs="Times New Roman"/>
          <w:szCs w:val="24"/>
        </w:rPr>
        <w:t xml:space="preserve">growth </w:t>
      </w:r>
      <w:r w:rsidR="0078303E" w:rsidRPr="007601D4">
        <w:rPr>
          <w:rFonts w:cs="Times New Roman"/>
          <w:szCs w:val="24"/>
        </w:rPr>
        <w:t>impact of</w:t>
      </w:r>
      <w:r w:rsidRPr="007601D4">
        <w:rPr>
          <w:rFonts w:cs="Times New Roman"/>
          <w:szCs w:val="24"/>
        </w:rPr>
        <w:t xml:space="preserve"> climate-related extreme events </w:t>
      </w:r>
      <w:r w:rsidR="00F44AFC" w:rsidRPr="007601D4">
        <w:rPr>
          <w:rFonts w:cs="Times New Roman"/>
          <w:szCs w:val="24"/>
        </w:rPr>
        <w:t xml:space="preserve">on </w:t>
      </w:r>
      <w:r w:rsidRPr="007601D4">
        <w:rPr>
          <w:rFonts w:cs="Times New Roman"/>
          <w:szCs w:val="24"/>
        </w:rPr>
        <w:t xml:space="preserve">water systems. The outcomes </w:t>
      </w:r>
      <w:r w:rsidR="00F44AFC" w:rsidRPr="007601D4">
        <w:rPr>
          <w:rFonts w:cs="Times New Roman"/>
          <w:szCs w:val="24"/>
        </w:rPr>
        <w:t xml:space="preserve">directly </w:t>
      </w:r>
      <w:r w:rsidRPr="007601D4">
        <w:rPr>
          <w:rFonts w:cs="Times New Roman"/>
          <w:szCs w:val="24"/>
        </w:rPr>
        <w:t>contributed to the development of a WB6 roadmap aligned with the EU Water Resilience Strategy 2030</w:t>
      </w:r>
      <w:r w:rsidR="00F44AFC" w:rsidRPr="007601D4">
        <w:rPr>
          <w:rFonts w:cs="Times New Roman"/>
          <w:szCs w:val="24"/>
        </w:rPr>
        <w:t xml:space="preserve">, </w:t>
      </w:r>
      <w:r w:rsidRPr="007601D4">
        <w:rPr>
          <w:rFonts w:cs="Times New Roman"/>
          <w:szCs w:val="24"/>
        </w:rPr>
        <w:t>completed in December 2025</w:t>
      </w:r>
      <w:r w:rsidR="0078303E" w:rsidRPr="007601D4">
        <w:rPr>
          <w:rFonts w:cs="Times New Roman"/>
          <w:szCs w:val="24"/>
        </w:rPr>
        <w:t>. S</w:t>
      </w:r>
      <w:r w:rsidRPr="007601D4">
        <w:rPr>
          <w:rFonts w:cs="Times New Roman"/>
          <w:szCs w:val="24"/>
        </w:rPr>
        <w:t>trong participation from regional academia ensur</w:t>
      </w:r>
      <w:r w:rsidR="0078303E" w:rsidRPr="007601D4">
        <w:rPr>
          <w:rFonts w:cs="Times New Roman"/>
          <w:szCs w:val="24"/>
        </w:rPr>
        <w:t>ed</w:t>
      </w:r>
      <w:r w:rsidRPr="007601D4">
        <w:rPr>
          <w:rFonts w:cs="Times New Roman"/>
          <w:szCs w:val="24"/>
        </w:rPr>
        <w:t xml:space="preserve"> the integration of scientific and educational expertise</w:t>
      </w:r>
      <w:r w:rsidR="0078303E" w:rsidRPr="007601D4">
        <w:rPr>
          <w:rFonts w:cs="Times New Roman"/>
          <w:szCs w:val="24"/>
        </w:rPr>
        <w:t xml:space="preserve"> into the road map</w:t>
      </w:r>
      <w:r w:rsidRPr="007601D4">
        <w:rPr>
          <w:rFonts w:cs="Times New Roman"/>
          <w:szCs w:val="24"/>
        </w:rPr>
        <w:t xml:space="preserve">. </w:t>
      </w:r>
    </w:p>
    <w:p w14:paraId="68A55BD4" w14:textId="74B9AB7A" w:rsidR="00204369" w:rsidRPr="007601D4" w:rsidRDefault="00A71554" w:rsidP="0004382C">
      <w:pPr>
        <w:spacing w:line="360" w:lineRule="auto"/>
        <w:rPr>
          <w:rFonts w:cs="Times New Roman"/>
          <w:szCs w:val="24"/>
        </w:rPr>
      </w:pPr>
      <w:r w:rsidRPr="00365326">
        <w:rPr>
          <w:rFonts w:cs="Times New Roman"/>
          <w:szCs w:val="24"/>
        </w:rPr>
        <w:t>In 2026, priorities focused</w:t>
      </w:r>
      <w:r w:rsidRPr="007601D4">
        <w:rPr>
          <w:rFonts w:cs="Times New Roman"/>
          <w:szCs w:val="24"/>
        </w:rPr>
        <w:t xml:space="preserve"> on advancing the follow-up to the commitments set out in the Dubrovnik Declaration, preparing the 2025 GAWB Implementation Report, and convening regular and extended meetings of the RWG GAWB to support coordination and implementation.</w:t>
      </w:r>
      <w:r w:rsidR="00A63686" w:rsidRPr="007601D4">
        <w:rPr>
          <w:rFonts w:cs="Times New Roman"/>
          <w:szCs w:val="24"/>
        </w:rPr>
        <w:t xml:space="preserve"> </w:t>
      </w:r>
      <w:r w:rsidR="00204369" w:rsidRPr="007601D4">
        <w:rPr>
          <w:rFonts w:cs="Times New Roman"/>
          <w:szCs w:val="24"/>
        </w:rPr>
        <w:t>The RCC followed up by developing a first draft of the WB6 Climate Adaptation Strategy, aim</w:t>
      </w:r>
      <w:r w:rsidR="00650EB2" w:rsidRPr="007601D4">
        <w:rPr>
          <w:rFonts w:cs="Times New Roman"/>
          <w:szCs w:val="24"/>
        </w:rPr>
        <w:t>ed</w:t>
      </w:r>
      <w:r w:rsidR="00204369" w:rsidRPr="007601D4">
        <w:rPr>
          <w:rFonts w:cs="Times New Roman"/>
          <w:szCs w:val="24"/>
        </w:rPr>
        <w:t xml:space="preserve"> </w:t>
      </w:r>
      <w:r w:rsidR="00650EB2" w:rsidRPr="007601D4">
        <w:rPr>
          <w:rFonts w:cs="Times New Roman"/>
          <w:szCs w:val="24"/>
        </w:rPr>
        <w:t>at</w:t>
      </w:r>
      <w:r w:rsidR="00204369" w:rsidRPr="007601D4">
        <w:rPr>
          <w:rFonts w:cs="Times New Roman"/>
          <w:szCs w:val="24"/>
        </w:rPr>
        <w:t xml:space="preserve"> establish</w:t>
      </w:r>
      <w:r w:rsidR="00184E8C" w:rsidRPr="007601D4">
        <w:rPr>
          <w:rFonts w:cs="Times New Roman"/>
          <w:szCs w:val="24"/>
        </w:rPr>
        <w:t>ing</w:t>
      </w:r>
      <w:r w:rsidR="00204369" w:rsidRPr="007601D4">
        <w:rPr>
          <w:rFonts w:cs="Times New Roman"/>
          <w:szCs w:val="24"/>
        </w:rPr>
        <w:t xml:space="preserve"> a shared regional vision for climate resilience, defin</w:t>
      </w:r>
      <w:r w:rsidR="00184E8C" w:rsidRPr="007601D4">
        <w:rPr>
          <w:rFonts w:cs="Times New Roman"/>
          <w:szCs w:val="24"/>
        </w:rPr>
        <w:t>ing</w:t>
      </w:r>
      <w:r w:rsidR="00204369" w:rsidRPr="007601D4">
        <w:rPr>
          <w:rFonts w:cs="Times New Roman"/>
          <w:szCs w:val="24"/>
        </w:rPr>
        <w:t xml:space="preserve"> strategic objectives and priority adaptation actions, and identif</w:t>
      </w:r>
      <w:r w:rsidR="00184E8C" w:rsidRPr="007601D4">
        <w:rPr>
          <w:rFonts w:cs="Times New Roman"/>
          <w:szCs w:val="24"/>
        </w:rPr>
        <w:t>ying</w:t>
      </w:r>
      <w:r w:rsidR="00204369" w:rsidRPr="007601D4">
        <w:rPr>
          <w:rFonts w:cs="Times New Roman"/>
          <w:szCs w:val="24"/>
        </w:rPr>
        <w:t xml:space="preserve"> flagship regional initiatives </w:t>
      </w:r>
      <w:r w:rsidR="00FF0584" w:rsidRPr="007601D4">
        <w:rPr>
          <w:rFonts w:cs="Times New Roman"/>
          <w:szCs w:val="24"/>
        </w:rPr>
        <w:t xml:space="preserve">to </w:t>
      </w:r>
      <w:r w:rsidR="00204369" w:rsidRPr="007601D4">
        <w:rPr>
          <w:rFonts w:cs="Times New Roman"/>
          <w:szCs w:val="24"/>
        </w:rPr>
        <w:t xml:space="preserve">strengthen coordinated responses to climate risks and </w:t>
      </w:r>
      <w:r w:rsidR="00FF0584" w:rsidRPr="007601D4">
        <w:rPr>
          <w:rFonts w:cs="Times New Roman"/>
          <w:szCs w:val="24"/>
        </w:rPr>
        <w:t>a</w:t>
      </w:r>
      <w:r w:rsidR="00204369" w:rsidRPr="007601D4">
        <w:rPr>
          <w:rFonts w:cs="Times New Roman"/>
          <w:szCs w:val="24"/>
        </w:rPr>
        <w:t xml:space="preserve">lign with EU policy frameworks. </w:t>
      </w:r>
      <w:r w:rsidR="00DC3009" w:rsidRPr="007601D4">
        <w:rPr>
          <w:rFonts w:cs="Times New Roman"/>
          <w:szCs w:val="24"/>
        </w:rPr>
        <w:t>To move this process forward</w:t>
      </w:r>
      <w:r w:rsidR="00204369" w:rsidRPr="007601D4">
        <w:rPr>
          <w:rFonts w:cs="Times New Roman"/>
          <w:szCs w:val="24"/>
        </w:rPr>
        <w:t xml:space="preserve">, </w:t>
      </w:r>
      <w:r w:rsidR="00DC3009" w:rsidRPr="007601D4">
        <w:rPr>
          <w:rFonts w:cs="Times New Roman"/>
          <w:szCs w:val="24"/>
        </w:rPr>
        <w:t xml:space="preserve">the </w:t>
      </w:r>
      <w:r w:rsidR="00204369" w:rsidRPr="007601D4">
        <w:rPr>
          <w:rFonts w:cs="Times New Roman"/>
          <w:szCs w:val="24"/>
        </w:rPr>
        <w:t xml:space="preserve">RCC convened a </w:t>
      </w:r>
      <w:r w:rsidR="00DC3009" w:rsidRPr="007601D4">
        <w:rPr>
          <w:rFonts w:cs="Times New Roman"/>
          <w:szCs w:val="24"/>
        </w:rPr>
        <w:t>c</w:t>
      </w:r>
      <w:r w:rsidR="00204369" w:rsidRPr="007601D4">
        <w:rPr>
          <w:rFonts w:cs="Times New Roman"/>
          <w:szCs w:val="24"/>
        </w:rPr>
        <w:t>losed RWG GAWB meeting on 26 March 2026 to agree on next steps, methodology, and key deliverables under 2026 Berlin Process</w:t>
      </w:r>
      <w:r w:rsidR="00496BFE" w:rsidRPr="007601D4">
        <w:rPr>
          <w:rFonts w:cs="Times New Roman"/>
          <w:szCs w:val="24"/>
        </w:rPr>
        <w:t>.</w:t>
      </w:r>
      <w:r w:rsidR="00204369" w:rsidRPr="007601D4">
        <w:rPr>
          <w:rFonts w:cs="Times New Roman"/>
          <w:szCs w:val="24"/>
        </w:rPr>
        <w:t xml:space="preserve"> </w:t>
      </w:r>
      <w:r w:rsidR="00496BFE" w:rsidRPr="007601D4">
        <w:rPr>
          <w:rFonts w:cs="Times New Roman"/>
          <w:szCs w:val="24"/>
        </w:rPr>
        <w:t xml:space="preserve">This was </w:t>
      </w:r>
      <w:r w:rsidR="00204369" w:rsidRPr="007601D4">
        <w:rPr>
          <w:rFonts w:cs="Times New Roman"/>
          <w:szCs w:val="24"/>
        </w:rPr>
        <w:t>followed</w:t>
      </w:r>
      <w:r w:rsidR="00496BFE" w:rsidRPr="007601D4">
        <w:rPr>
          <w:rFonts w:cs="Times New Roman"/>
          <w:szCs w:val="24"/>
        </w:rPr>
        <w:t xml:space="preserve"> </w:t>
      </w:r>
      <w:r w:rsidR="00204369" w:rsidRPr="007601D4">
        <w:rPr>
          <w:rFonts w:cs="Times New Roman"/>
          <w:szCs w:val="24"/>
        </w:rPr>
        <w:t>by an extended RWG session</w:t>
      </w:r>
      <w:r w:rsidR="00496BFE" w:rsidRPr="007601D4">
        <w:rPr>
          <w:rFonts w:cs="Times New Roman"/>
          <w:szCs w:val="24"/>
        </w:rPr>
        <w:t xml:space="preserve"> on the same day</w:t>
      </w:r>
      <w:r w:rsidR="00204369" w:rsidRPr="007601D4">
        <w:rPr>
          <w:rFonts w:cs="Times New Roman"/>
          <w:szCs w:val="24"/>
        </w:rPr>
        <w:t>, organised</w:t>
      </w:r>
      <w:r w:rsidR="007B252A" w:rsidRPr="007601D4">
        <w:rPr>
          <w:rFonts w:cs="Times New Roman"/>
          <w:szCs w:val="24"/>
        </w:rPr>
        <w:t xml:space="preserve"> in </w:t>
      </w:r>
      <w:r w:rsidR="00C36971" w:rsidRPr="007601D4">
        <w:rPr>
          <w:rFonts w:cs="Times New Roman"/>
          <w:szCs w:val="24"/>
        </w:rPr>
        <w:t>cooperation with</w:t>
      </w:r>
      <w:r w:rsidR="007B252A" w:rsidRPr="007601D4">
        <w:rPr>
          <w:rFonts w:cs="Times New Roman"/>
          <w:szCs w:val="24"/>
        </w:rPr>
        <w:t xml:space="preserve"> </w:t>
      </w:r>
      <w:r w:rsidR="00204369" w:rsidRPr="007601D4">
        <w:rPr>
          <w:rFonts w:cs="Times New Roman"/>
          <w:szCs w:val="24"/>
        </w:rPr>
        <w:t xml:space="preserve">the Organization for Security and Co-operation in Europe and Deutsche Gesellschaft für Internationale Zusammenarbeit, </w:t>
      </w:r>
      <w:r w:rsidR="007B252A" w:rsidRPr="007601D4">
        <w:rPr>
          <w:rFonts w:cs="Times New Roman"/>
          <w:szCs w:val="24"/>
        </w:rPr>
        <w:t xml:space="preserve">where </w:t>
      </w:r>
      <w:r w:rsidR="0028256F" w:rsidRPr="007601D4">
        <w:rPr>
          <w:rFonts w:cs="Times New Roman"/>
          <w:szCs w:val="24"/>
        </w:rPr>
        <w:t xml:space="preserve">the draft approach to </w:t>
      </w:r>
      <w:r w:rsidR="00DD4F79" w:rsidRPr="007601D4">
        <w:rPr>
          <w:rFonts w:cs="Times New Roman"/>
          <w:szCs w:val="24"/>
        </w:rPr>
        <w:t>WB6 Climate Adaptation Strategy was presented and</w:t>
      </w:r>
      <w:r w:rsidR="00204369" w:rsidRPr="007601D4">
        <w:rPr>
          <w:rFonts w:cs="Times New Roman"/>
          <w:szCs w:val="24"/>
        </w:rPr>
        <w:t xml:space="preserve"> initial feedback </w:t>
      </w:r>
      <w:r w:rsidR="00DD4F79" w:rsidRPr="007601D4">
        <w:rPr>
          <w:rFonts w:cs="Times New Roman"/>
          <w:szCs w:val="24"/>
        </w:rPr>
        <w:t xml:space="preserve">was gathered </w:t>
      </w:r>
      <w:r w:rsidR="008133D5" w:rsidRPr="007601D4">
        <w:rPr>
          <w:rFonts w:cs="Times New Roman"/>
          <w:szCs w:val="24"/>
        </w:rPr>
        <w:t xml:space="preserve">from </w:t>
      </w:r>
      <w:r w:rsidR="00204369" w:rsidRPr="007601D4">
        <w:rPr>
          <w:rFonts w:cs="Times New Roman"/>
          <w:szCs w:val="24"/>
        </w:rPr>
        <w:t xml:space="preserve">WB6 institutions, partners, and experts to further refine the document. These efforts were further reinforced through RCC’s contribution to the Tirana Climate Conference </w:t>
      </w:r>
      <w:r w:rsidR="0027055B" w:rsidRPr="007601D4">
        <w:rPr>
          <w:rFonts w:cs="Times New Roman"/>
          <w:szCs w:val="24"/>
        </w:rPr>
        <w:t xml:space="preserve">on </w:t>
      </w:r>
      <w:r w:rsidR="00204369" w:rsidRPr="007601D4">
        <w:rPr>
          <w:rFonts w:cs="Times New Roman"/>
          <w:szCs w:val="24"/>
        </w:rPr>
        <w:t xml:space="preserve">5 May 2026, including a </w:t>
      </w:r>
      <w:r w:rsidR="0027055B" w:rsidRPr="007601D4">
        <w:rPr>
          <w:rFonts w:cs="Times New Roman"/>
          <w:szCs w:val="24"/>
        </w:rPr>
        <w:t>m</w:t>
      </w:r>
      <w:r w:rsidR="00204369" w:rsidRPr="007601D4">
        <w:rPr>
          <w:rFonts w:cs="Times New Roman"/>
          <w:szCs w:val="24"/>
        </w:rPr>
        <w:t xml:space="preserve">inisterial panel </w:t>
      </w:r>
      <w:r w:rsidR="0027055B" w:rsidRPr="007601D4">
        <w:rPr>
          <w:rFonts w:cs="Times New Roman"/>
          <w:szCs w:val="24"/>
        </w:rPr>
        <w:t xml:space="preserve">that </w:t>
      </w:r>
      <w:r w:rsidR="00204369" w:rsidRPr="007601D4">
        <w:rPr>
          <w:rFonts w:cs="Times New Roman"/>
          <w:szCs w:val="24"/>
        </w:rPr>
        <w:t>advanc</w:t>
      </w:r>
      <w:r w:rsidR="0027055B" w:rsidRPr="007601D4">
        <w:rPr>
          <w:rFonts w:cs="Times New Roman"/>
          <w:szCs w:val="24"/>
        </w:rPr>
        <w:t>ed</w:t>
      </w:r>
      <w:r w:rsidR="00204369" w:rsidRPr="007601D4">
        <w:rPr>
          <w:rFonts w:cs="Times New Roman"/>
          <w:szCs w:val="24"/>
        </w:rPr>
        <w:t xml:space="preserve"> regional dialogue on climate adaptation and strengthening political momentum for the Strategy’s development and implementation.</w:t>
      </w:r>
    </w:p>
    <w:p w14:paraId="2AC0D0C6" w14:textId="53613CEE" w:rsidR="00204369" w:rsidRPr="007601D4" w:rsidRDefault="00204369" w:rsidP="0004382C">
      <w:pPr>
        <w:spacing w:line="360" w:lineRule="auto"/>
        <w:rPr>
          <w:rFonts w:cs="Times New Roman"/>
          <w:szCs w:val="24"/>
        </w:rPr>
      </w:pPr>
      <w:r w:rsidRPr="007601D4">
        <w:rPr>
          <w:rFonts w:cs="Times New Roman"/>
          <w:szCs w:val="24"/>
        </w:rPr>
        <w:t xml:space="preserve">Following the endorsement of the </w:t>
      </w:r>
      <w:hyperlink r:id="rId71" w:history="1">
        <w:r w:rsidRPr="007601D4">
          <w:rPr>
            <w:rStyle w:val="Hyperlink"/>
            <w:rFonts w:cs="Times New Roman"/>
            <w:b/>
            <w:bCs/>
            <w:szCs w:val="24"/>
          </w:rPr>
          <w:t>Outline of the WB6 Biodiversity Strategic Plan</w:t>
        </w:r>
      </w:hyperlink>
      <w:r w:rsidRPr="007601D4">
        <w:rPr>
          <w:rFonts w:cs="Times New Roman"/>
          <w:szCs w:val="24"/>
        </w:rPr>
        <w:t xml:space="preserve">, the </w:t>
      </w:r>
      <w:r w:rsidR="007F5367" w:rsidRPr="007601D4">
        <w:rPr>
          <w:rFonts w:cs="Times New Roman"/>
          <w:szCs w:val="24"/>
        </w:rPr>
        <w:t>RCC</w:t>
      </w:r>
      <w:r w:rsidRPr="007601D4">
        <w:rPr>
          <w:rFonts w:cs="Times New Roman"/>
          <w:szCs w:val="24"/>
        </w:rPr>
        <w:t xml:space="preserve"> developed the </w:t>
      </w:r>
      <w:hyperlink r:id="rId72" w:history="1">
        <w:r w:rsidRPr="007601D4">
          <w:rPr>
            <w:rStyle w:val="Hyperlink"/>
            <w:rFonts w:cs="Times New Roman"/>
            <w:b/>
            <w:bCs/>
            <w:szCs w:val="24"/>
          </w:rPr>
          <w:t>WB6 Biodiversity Strategic Plan 2030 (BSP 2030)</w:t>
        </w:r>
        <w:r w:rsidRPr="007601D4">
          <w:rPr>
            <w:rStyle w:val="Hyperlink"/>
            <w:rFonts w:cs="Times New Roman"/>
            <w:szCs w:val="24"/>
          </w:rPr>
          <w:t>,</w:t>
        </w:r>
      </w:hyperlink>
      <w:r w:rsidRPr="007601D4">
        <w:rPr>
          <w:rFonts w:cs="Times New Roman"/>
          <w:szCs w:val="24"/>
        </w:rPr>
        <w:t xml:space="preserve"> with technical support from external experts and the International Union for Conservation of Nature</w:t>
      </w:r>
      <w:r w:rsidR="007F5367" w:rsidRPr="007601D4">
        <w:rPr>
          <w:rFonts w:cs="Times New Roman"/>
          <w:szCs w:val="24"/>
        </w:rPr>
        <w:t xml:space="preserve">. The Plan provides </w:t>
      </w:r>
      <w:r w:rsidRPr="007601D4">
        <w:rPr>
          <w:rFonts w:cs="Times New Roman"/>
          <w:szCs w:val="24"/>
        </w:rPr>
        <w:t xml:space="preserve">a common regional framework to advance biodiversity conservation, ecosystem restoration, and sustainable natural resource management. </w:t>
      </w:r>
      <w:r w:rsidR="007F3A41" w:rsidRPr="007601D4">
        <w:rPr>
          <w:rFonts w:cs="Times New Roman"/>
          <w:szCs w:val="24"/>
        </w:rPr>
        <w:t>As a key instrument under Pillar 5 of the GAWB</w:t>
      </w:r>
      <w:r w:rsidR="00B84482">
        <w:rPr>
          <w:rFonts w:cs="Times New Roman"/>
          <w:szCs w:val="24"/>
        </w:rPr>
        <w:t>,</w:t>
      </w:r>
      <w:r w:rsidR="008A7444" w:rsidRPr="007601D4">
        <w:rPr>
          <w:rFonts w:cs="Times New Roman"/>
          <w:szCs w:val="24"/>
        </w:rPr>
        <w:t xml:space="preserve"> the Plan is aligned with major European and global frameworks, including the EU Biodiversity Strategy for 2030. </w:t>
      </w:r>
      <w:r w:rsidR="00C41696">
        <w:rPr>
          <w:rFonts w:cs="Times New Roman"/>
          <w:szCs w:val="24"/>
        </w:rPr>
        <w:t xml:space="preserve">Following </w:t>
      </w:r>
      <w:r w:rsidRPr="007601D4">
        <w:rPr>
          <w:rFonts w:cs="Times New Roman"/>
          <w:szCs w:val="24"/>
        </w:rPr>
        <w:t>technical consultations</w:t>
      </w:r>
      <w:r w:rsidR="00C41696">
        <w:rPr>
          <w:rFonts w:cs="Times New Roman"/>
          <w:szCs w:val="24"/>
        </w:rPr>
        <w:t>,</w:t>
      </w:r>
      <w:r w:rsidR="004F5CE4" w:rsidRPr="007601D4">
        <w:rPr>
          <w:rFonts w:cs="Times New Roman"/>
          <w:szCs w:val="24"/>
        </w:rPr>
        <w:t xml:space="preserve"> </w:t>
      </w:r>
      <w:r w:rsidR="00C41696">
        <w:rPr>
          <w:rFonts w:cs="Times New Roman"/>
          <w:szCs w:val="24"/>
        </w:rPr>
        <w:t>t</w:t>
      </w:r>
      <w:r w:rsidR="004F5CE4" w:rsidRPr="007601D4">
        <w:rPr>
          <w:rFonts w:cs="Times New Roman"/>
          <w:szCs w:val="24"/>
        </w:rPr>
        <w:t xml:space="preserve">he </w:t>
      </w:r>
      <w:r w:rsidRPr="007601D4">
        <w:rPr>
          <w:rFonts w:cs="Times New Roman"/>
          <w:szCs w:val="24"/>
        </w:rPr>
        <w:t xml:space="preserve">final draft </w:t>
      </w:r>
      <w:r w:rsidR="004F5CE4" w:rsidRPr="007601D4">
        <w:rPr>
          <w:rFonts w:cs="Times New Roman"/>
          <w:szCs w:val="24"/>
        </w:rPr>
        <w:t xml:space="preserve">was </w:t>
      </w:r>
      <w:r w:rsidRPr="007601D4">
        <w:rPr>
          <w:rFonts w:cs="Times New Roman"/>
          <w:szCs w:val="24"/>
        </w:rPr>
        <w:t xml:space="preserve">presented at the 16th regular Biodiversity Task Force meeting </w:t>
      </w:r>
      <w:r w:rsidR="004F5CE4" w:rsidRPr="007601D4">
        <w:rPr>
          <w:rFonts w:cs="Times New Roman"/>
          <w:szCs w:val="24"/>
        </w:rPr>
        <w:t xml:space="preserve">on </w:t>
      </w:r>
      <w:r w:rsidRPr="007601D4">
        <w:rPr>
          <w:rFonts w:cs="Times New Roman"/>
          <w:szCs w:val="24"/>
        </w:rPr>
        <w:t>19-22 May in Tirana, organised by IUCN ECARO. Technical-level endorsement at the next RWG GAWB meeting is planned for mid-June.</w:t>
      </w:r>
    </w:p>
    <w:p w14:paraId="4215FFF7" w14:textId="12FF9580" w:rsidR="00204369" w:rsidRPr="007601D4" w:rsidRDefault="00204369" w:rsidP="0004382C">
      <w:pPr>
        <w:spacing w:line="360" w:lineRule="auto"/>
        <w:rPr>
          <w:rFonts w:cs="Times New Roman"/>
          <w:bCs/>
          <w:szCs w:val="24"/>
        </w:rPr>
      </w:pPr>
      <w:r w:rsidRPr="007601D4">
        <w:rPr>
          <w:rFonts w:cs="Times New Roman"/>
          <w:bCs/>
          <w:szCs w:val="24"/>
        </w:rPr>
        <w:lastRenderedPageBreak/>
        <w:t xml:space="preserve">Activities under the </w:t>
      </w:r>
      <w:r w:rsidRPr="007601D4">
        <w:rPr>
          <w:rFonts w:cs="Times New Roman"/>
          <w:b/>
          <w:bCs/>
          <w:szCs w:val="24"/>
        </w:rPr>
        <w:t>Circular Economy (CE) pillar</w:t>
      </w:r>
      <w:r w:rsidRPr="007601D4">
        <w:rPr>
          <w:rFonts w:cs="Times New Roman"/>
          <w:bCs/>
          <w:szCs w:val="24"/>
        </w:rPr>
        <w:t xml:space="preserve"> continued with the support of Switzerland through the Green Coop project. To ensure strategic continuity and coherence of regional efforts, RCC engaged </w:t>
      </w:r>
      <w:r w:rsidR="00EC78BB" w:rsidRPr="007601D4">
        <w:rPr>
          <w:rFonts w:cs="Times New Roman"/>
          <w:bCs/>
          <w:szCs w:val="24"/>
        </w:rPr>
        <w:t>a</w:t>
      </w:r>
      <w:r w:rsidRPr="007601D4">
        <w:rPr>
          <w:rFonts w:cs="Times New Roman"/>
          <w:bCs/>
          <w:szCs w:val="24"/>
        </w:rPr>
        <w:t xml:space="preserve"> Circular Economy</w:t>
      </w:r>
      <w:r w:rsidR="00EC78BB" w:rsidRPr="007601D4">
        <w:rPr>
          <w:rFonts w:cs="Times New Roman"/>
          <w:bCs/>
          <w:szCs w:val="24"/>
        </w:rPr>
        <w:t xml:space="preserve"> expert</w:t>
      </w:r>
      <w:r w:rsidRPr="007601D4">
        <w:rPr>
          <w:rFonts w:cs="Times New Roman"/>
          <w:bCs/>
          <w:szCs w:val="24"/>
        </w:rPr>
        <w:t>, funded by Switzerland</w:t>
      </w:r>
      <w:r w:rsidR="00C935C9" w:rsidRPr="007601D4">
        <w:rPr>
          <w:rFonts w:cs="Times New Roman"/>
          <w:bCs/>
          <w:szCs w:val="24"/>
        </w:rPr>
        <w:t xml:space="preserve"> through</w:t>
      </w:r>
      <w:r w:rsidRPr="007601D4">
        <w:rPr>
          <w:rFonts w:cs="Times New Roman"/>
          <w:bCs/>
          <w:szCs w:val="24"/>
        </w:rPr>
        <w:t xml:space="preserve"> September 2026</w:t>
      </w:r>
      <w:r w:rsidR="00C935C9" w:rsidRPr="007601D4">
        <w:rPr>
          <w:rFonts w:cs="Times New Roman"/>
          <w:bCs/>
          <w:szCs w:val="24"/>
        </w:rPr>
        <w:t xml:space="preserve">, </w:t>
      </w:r>
      <w:r w:rsidRPr="007601D4">
        <w:rPr>
          <w:rFonts w:cs="Times New Roman"/>
          <w:bCs/>
          <w:szCs w:val="24"/>
        </w:rPr>
        <w:t>to provide high-level strategic and technical guidance across the WB6.</w:t>
      </w:r>
      <w:r w:rsidRPr="007601D4">
        <w:rPr>
          <w:rFonts w:cs="Times New Roman"/>
          <w:szCs w:val="24"/>
        </w:rPr>
        <w:t xml:space="preserve"> This support also contributes to the preparation of a new four-year Swiss-funded regional intervention aimed at </w:t>
      </w:r>
      <w:r w:rsidRPr="007601D4">
        <w:rPr>
          <w:rFonts w:cs="Times New Roman"/>
          <w:bCs/>
          <w:szCs w:val="24"/>
        </w:rPr>
        <w:t>advancing the CE agenda.</w:t>
      </w:r>
    </w:p>
    <w:p w14:paraId="61097DDF" w14:textId="72170D8A" w:rsidR="00204369" w:rsidRPr="007601D4" w:rsidRDefault="00204369" w:rsidP="0004382C">
      <w:pPr>
        <w:spacing w:line="360" w:lineRule="auto"/>
        <w:rPr>
          <w:rFonts w:cs="Times New Roman"/>
          <w:szCs w:val="24"/>
        </w:rPr>
      </w:pPr>
      <w:r w:rsidRPr="007601D4">
        <w:rPr>
          <w:rFonts w:cs="Times New Roman"/>
          <w:szCs w:val="24"/>
        </w:rPr>
        <w:t xml:space="preserve">The RCC advanced the operationalisation of the </w:t>
      </w:r>
      <w:hyperlink r:id="rId73" w:history="1">
        <w:r w:rsidRPr="007601D4">
          <w:rPr>
            <w:rStyle w:val="Hyperlink"/>
            <w:rFonts w:cs="Times New Roman"/>
            <w:b/>
            <w:bCs/>
            <w:szCs w:val="24"/>
          </w:rPr>
          <w:t>2023 Regional Joint Statement on Plastic Pollution Prevention</w:t>
        </w:r>
      </w:hyperlink>
      <w:r w:rsidRPr="007601D4">
        <w:rPr>
          <w:rFonts w:cs="Times New Roman"/>
          <w:szCs w:val="24"/>
        </w:rPr>
        <w:t xml:space="preserve"> by developing an integrated analytical package assessing legal, institutional, and implementation frameworks across the WB6. The analysis identified key governance and enforcement gaps and produced both harmonised regional recommendations and tailored policy measures, focusing on priority </w:t>
      </w:r>
      <w:r w:rsidR="00372AED" w:rsidRPr="007601D4">
        <w:rPr>
          <w:rFonts w:cs="Times New Roman"/>
          <w:szCs w:val="24"/>
        </w:rPr>
        <w:t>single-use plastic (</w:t>
      </w:r>
      <w:r w:rsidRPr="007601D4">
        <w:rPr>
          <w:rFonts w:cs="Times New Roman"/>
          <w:szCs w:val="24"/>
        </w:rPr>
        <w:t>SUP</w:t>
      </w:r>
      <w:r w:rsidR="00372AED" w:rsidRPr="007601D4">
        <w:rPr>
          <w:rFonts w:cs="Times New Roman"/>
          <w:szCs w:val="24"/>
        </w:rPr>
        <w:t>)</w:t>
      </w:r>
      <w:r w:rsidRPr="007601D4">
        <w:rPr>
          <w:rFonts w:cs="Times New Roman"/>
          <w:szCs w:val="24"/>
        </w:rPr>
        <w:t xml:space="preserve"> items, strengthened extended producer responsibility (EPR) systems, and improved recyclability, reuse, and recycled content. In parallel, RCC prepared a draft Joint Statement on phasing out the five most littered SUP categories for inclusion in the forthcoming Ministerial Declaration, committing the WB6 to coordinated action through a harmonised approach with shared definitions, milestones, and monitoring</w:t>
      </w:r>
      <w:r w:rsidR="00887778" w:rsidRPr="007601D4">
        <w:rPr>
          <w:rFonts w:cs="Times New Roman"/>
          <w:szCs w:val="24"/>
        </w:rPr>
        <w:t xml:space="preserve"> arrangements</w:t>
      </w:r>
      <w:r w:rsidRPr="007601D4">
        <w:rPr>
          <w:rFonts w:cs="Times New Roman"/>
          <w:szCs w:val="24"/>
        </w:rPr>
        <w:t xml:space="preserve">. To support measurable progress, RCC established a regional monitoring framework with key performance indicators (KPIs) and a Monitoring, Reporting and Verification (MRV) system aligned with existing data capacities. </w:t>
      </w:r>
    </w:p>
    <w:p w14:paraId="442EB75E" w14:textId="6F9F422F" w:rsidR="00204369" w:rsidRPr="007601D4" w:rsidRDefault="00204369" w:rsidP="0004382C">
      <w:pPr>
        <w:spacing w:line="360" w:lineRule="auto"/>
        <w:rPr>
          <w:rFonts w:cs="Times New Roman"/>
          <w:szCs w:val="24"/>
        </w:rPr>
      </w:pPr>
      <w:r w:rsidRPr="007601D4">
        <w:rPr>
          <w:rFonts w:cs="Times New Roman"/>
          <w:szCs w:val="24"/>
        </w:rPr>
        <w:t>Policy recommendations were further translated into practical market solutions, including deposit return systems (DRS), food-grade PET recycling value chains, and reuse models. Building on this, RCC supported the development of a regionally harmonised EPR Plastic Packaging Framework, with technical assistance launched in April 2026, covering baseline assessments, stakeholder consultations, and preparation of a common toolkit for governance, fee structures, monitoring, and regional comparability</w:t>
      </w:r>
      <w:r w:rsidR="00785A4C">
        <w:rPr>
          <w:rFonts w:cs="Times New Roman"/>
          <w:szCs w:val="24"/>
        </w:rPr>
        <w:t>.</w:t>
      </w:r>
    </w:p>
    <w:p w14:paraId="01698728" w14:textId="551CBE2C" w:rsidR="00204369" w:rsidRPr="007601D4" w:rsidRDefault="00204369" w:rsidP="0004382C">
      <w:pPr>
        <w:spacing w:line="360" w:lineRule="auto"/>
        <w:rPr>
          <w:rFonts w:cs="Times New Roman"/>
          <w:bCs/>
          <w:szCs w:val="24"/>
        </w:rPr>
      </w:pPr>
      <w:r w:rsidRPr="007601D4">
        <w:rPr>
          <w:rFonts w:cs="Times New Roman"/>
          <w:bCs/>
          <w:szCs w:val="24"/>
        </w:rPr>
        <w:t xml:space="preserve">In line with its mandate to monitor and report on the implementation of the GAWB, RCC launched </w:t>
      </w:r>
      <w:r w:rsidRPr="007601D4">
        <w:rPr>
          <w:rFonts w:cs="Times New Roman"/>
          <w:b/>
          <w:szCs w:val="24"/>
        </w:rPr>
        <w:t>GAWB Observatory Platform</w:t>
      </w:r>
      <w:r w:rsidRPr="007601D4">
        <w:rPr>
          <w:rFonts w:cs="Times New Roman"/>
          <w:bCs/>
          <w:szCs w:val="24"/>
        </w:rPr>
        <w:t xml:space="preserve">. The online platform provides a comprehensive and user-friendly visual overview of progress in implementing Sofia Declaration, structured by policy area and supported by </w:t>
      </w:r>
      <w:r w:rsidRPr="007601D4">
        <w:rPr>
          <w:rFonts w:cs="Times New Roman"/>
          <w:szCs w:val="24"/>
        </w:rPr>
        <w:t>indicators, timelines and annual data collection cycles. The RCC has consolidated all relevant documentation and policy references related to GAWB and EU policy processes, which are systematically integrated into the Platform.</w:t>
      </w:r>
      <w:r w:rsidR="00D94CD0" w:rsidRPr="007601D4">
        <w:rPr>
          <w:rFonts w:cs="Times New Roman"/>
          <w:szCs w:val="24"/>
        </w:rPr>
        <w:t xml:space="preserve"> </w:t>
      </w:r>
      <w:r w:rsidRPr="007601D4">
        <w:rPr>
          <w:rFonts w:cs="Times New Roman"/>
          <w:bCs/>
          <w:szCs w:val="24"/>
        </w:rPr>
        <w:t xml:space="preserve">The RCC completed the </w:t>
      </w:r>
      <w:r w:rsidRPr="007601D4">
        <w:rPr>
          <w:rFonts w:cs="Times New Roman"/>
          <w:b/>
          <w:szCs w:val="24"/>
        </w:rPr>
        <w:t>2025 GARI Report</w:t>
      </w:r>
      <w:r w:rsidRPr="007601D4">
        <w:rPr>
          <w:rFonts w:cs="Times New Roman"/>
          <w:bCs/>
          <w:szCs w:val="24"/>
        </w:rPr>
        <w:t xml:space="preserve"> which is in the process of validation through RWG GAWB. This </w:t>
      </w:r>
      <w:r w:rsidRPr="007601D4">
        <w:rPr>
          <w:rFonts w:cs="Times New Roman"/>
          <w:bCs/>
          <w:szCs w:val="24"/>
        </w:rPr>
        <w:lastRenderedPageBreak/>
        <w:t>edition, together with previous GARI reports, will be integrated in the Observatory Platform and complemented by dedicated infographics to present a clear and accessible overview of the status of GAWB implementation.</w:t>
      </w:r>
    </w:p>
    <w:p w14:paraId="4872BA9C" w14:textId="0116AB07" w:rsidR="00204369" w:rsidRPr="007601D4" w:rsidRDefault="00204369" w:rsidP="0004382C">
      <w:pPr>
        <w:spacing w:line="360" w:lineRule="auto"/>
        <w:rPr>
          <w:rFonts w:cs="Times New Roman"/>
          <w:szCs w:val="24"/>
        </w:rPr>
      </w:pPr>
      <w:r w:rsidRPr="007601D4">
        <w:rPr>
          <w:rFonts w:cs="Times New Roman"/>
          <w:szCs w:val="24"/>
        </w:rPr>
        <w:t>In 2026, the RCC organised two RWG GAWB meetings</w:t>
      </w:r>
      <w:r w:rsidR="00D62307" w:rsidRPr="007601D4">
        <w:rPr>
          <w:rFonts w:cs="Times New Roman"/>
          <w:szCs w:val="24"/>
        </w:rPr>
        <w:t xml:space="preserve">, </w:t>
      </w:r>
      <w:r w:rsidRPr="007601D4">
        <w:rPr>
          <w:rFonts w:cs="Times New Roman"/>
          <w:szCs w:val="24"/>
        </w:rPr>
        <w:t xml:space="preserve">an online meeting on 25 February and an in-person meeting in Belgrade on 26 March. Both meetings brought together representatives of the WB6, the </w:t>
      </w:r>
      <w:r w:rsidR="00A672B7" w:rsidRPr="007601D4">
        <w:rPr>
          <w:rFonts w:cs="Times New Roman"/>
          <w:szCs w:val="24"/>
        </w:rPr>
        <w:t>EC</w:t>
      </w:r>
      <w:r w:rsidRPr="007601D4">
        <w:rPr>
          <w:rFonts w:cs="Times New Roman"/>
          <w:szCs w:val="24"/>
        </w:rPr>
        <w:t xml:space="preserve">, and key regional coordinators under GAWB AP including the Energy Community, Transport Community, </w:t>
      </w:r>
      <w:r w:rsidR="000A5DB7" w:rsidRPr="007601D4">
        <w:rPr>
          <w:rFonts w:cs="Times New Roman"/>
          <w:szCs w:val="24"/>
        </w:rPr>
        <w:t xml:space="preserve">IUCN </w:t>
      </w:r>
      <w:r w:rsidRPr="007601D4">
        <w:rPr>
          <w:rFonts w:cs="Times New Roman"/>
          <w:szCs w:val="24"/>
        </w:rPr>
        <w:t xml:space="preserve">and SWG RRD to coordinate 2026 priorities, align planned activities, and reinforce joint ownership of the Green Agenda implementation process. </w:t>
      </w:r>
    </w:p>
    <w:p w14:paraId="746DCB89" w14:textId="77777777" w:rsidR="00204369" w:rsidRPr="007601D4" w:rsidRDefault="00204369" w:rsidP="0004382C">
      <w:pPr>
        <w:spacing w:line="360" w:lineRule="auto"/>
        <w:rPr>
          <w:rFonts w:cs="Times New Roman"/>
          <w:szCs w:val="24"/>
        </w:rPr>
      </w:pPr>
      <w:r w:rsidRPr="007601D4">
        <w:rPr>
          <w:rFonts w:cs="Times New Roman"/>
          <w:szCs w:val="24"/>
        </w:rPr>
        <w:t>In parallel, RCC is in the final stages of concluding a financial agreement with Deutsche Gesellschaft für Internationale Zusammenarbeit to further support the implementation of the Green Agenda pillar.</w:t>
      </w:r>
    </w:p>
    <w:p w14:paraId="26728C62" w14:textId="77777777" w:rsidR="00331AC4" w:rsidRPr="007601D4" w:rsidRDefault="001C1D50" w:rsidP="0004382C">
      <w:pPr>
        <w:pStyle w:val="Heading2"/>
        <w:spacing w:line="360" w:lineRule="auto"/>
        <w:jc w:val="both"/>
      </w:pPr>
      <w:bookmarkStart w:id="27" w:name="_Toc133825141"/>
      <w:bookmarkStart w:id="28" w:name="_Toc228451784"/>
      <w:r w:rsidRPr="007601D4">
        <w:rPr>
          <w:rFonts w:eastAsia="Times New Roman"/>
        </w:rPr>
        <w:t xml:space="preserve">A5. </w:t>
      </w:r>
      <w:r w:rsidRPr="007601D4">
        <w:t>Projects</w:t>
      </w:r>
      <w:bookmarkEnd w:id="27"/>
      <w:bookmarkEnd w:id="28"/>
    </w:p>
    <w:p w14:paraId="13804EAA" w14:textId="6A0EF4EC" w:rsidR="0019425F" w:rsidRPr="007601D4" w:rsidRDefault="001C1D50" w:rsidP="0004382C">
      <w:pPr>
        <w:pStyle w:val="Heading3"/>
        <w:spacing w:line="360" w:lineRule="auto"/>
        <w:ind w:firstLine="720"/>
        <w:jc w:val="both"/>
      </w:pPr>
      <w:bookmarkStart w:id="29" w:name="_Toc133825142"/>
      <w:bookmarkStart w:id="30" w:name="_Toc228451785"/>
      <w:r w:rsidRPr="007601D4">
        <w:t>A5.1. Western Balkans Youth Lab Project</w:t>
      </w:r>
      <w:r w:rsidR="004D30B4" w:rsidRPr="007601D4">
        <w:t xml:space="preserve"> (WBYL)</w:t>
      </w:r>
      <w:bookmarkEnd w:id="29"/>
      <w:bookmarkEnd w:id="30"/>
    </w:p>
    <w:p w14:paraId="3F3C0BD2" w14:textId="6A903BBC" w:rsidR="004036D0" w:rsidRPr="007601D4" w:rsidRDefault="004036D0" w:rsidP="0004382C">
      <w:pPr>
        <w:spacing w:line="360" w:lineRule="auto"/>
      </w:pPr>
      <w:bookmarkStart w:id="31" w:name="_Toc133825143"/>
      <w:r w:rsidRPr="007601D4">
        <w:t>During the reporting period, the Western Balkans Youth Lab 2 (WBYL2) implemented a range of activities that strengthened youth participation and engagement in policy-making processes across the region. Through these initiatives, WBYL2 has significantly advanced the role of young people as active contributors to decision-making</w:t>
      </w:r>
      <w:r w:rsidR="00145461" w:rsidRPr="007601D4">
        <w:t xml:space="preserve"> and supported </w:t>
      </w:r>
      <w:r w:rsidR="00055CB2" w:rsidRPr="007601D4">
        <w:t xml:space="preserve">development of </w:t>
      </w:r>
      <w:r w:rsidRPr="007601D4">
        <w:t>more inclusive and responsive policies.</w:t>
      </w:r>
    </w:p>
    <w:p w14:paraId="39159D82" w14:textId="6B4795BB" w:rsidR="00E229B1" w:rsidRPr="007601D4" w:rsidRDefault="004036D0" w:rsidP="0004382C">
      <w:pPr>
        <w:spacing w:line="360" w:lineRule="auto"/>
      </w:pPr>
      <w:r w:rsidRPr="007601D4">
        <w:t xml:space="preserve">The Youth Policy Labs on the Green Agenda </w:t>
      </w:r>
      <w:r w:rsidR="00CA35E9" w:rsidRPr="007601D4">
        <w:t>were</w:t>
      </w:r>
      <w:r w:rsidRPr="007601D4">
        <w:t xml:space="preserve"> successfully concluded with the </w:t>
      </w:r>
      <w:hyperlink r:id="rId74" w:history="1">
        <w:r w:rsidRPr="007601D4">
          <w:rPr>
            <w:rStyle w:val="Hyperlink"/>
          </w:rPr>
          <w:t xml:space="preserve">Final Conference, titled </w:t>
        </w:r>
        <w:r w:rsidRPr="007601D4">
          <w:rPr>
            <w:rStyle w:val="Hyperlink"/>
            <w:i/>
            <w:iCs/>
          </w:rPr>
          <w:t>Blooming Garden of Tomorrow</w:t>
        </w:r>
      </w:hyperlink>
      <w:r w:rsidRPr="007601D4">
        <w:t xml:space="preserve">, </w:t>
      </w:r>
      <w:r w:rsidR="00CA35E9" w:rsidRPr="007601D4">
        <w:t xml:space="preserve">held </w:t>
      </w:r>
      <w:r w:rsidRPr="007601D4">
        <w:t xml:space="preserve">on 21 October 2025 in Ljubljana. This event built </w:t>
      </w:r>
      <w:r w:rsidR="00CA35E9" w:rsidRPr="007601D4">
        <w:t xml:space="preserve">on earlier </w:t>
      </w:r>
      <w:r w:rsidRPr="007601D4">
        <w:t xml:space="preserve">milestones, including the </w:t>
      </w:r>
      <w:hyperlink r:id="rId75" w:history="1">
        <w:r w:rsidRPr="007601D4">
          <w:rPr>
            <w:rStyle w:val="Hyperlink"/>
          </w:rPr>
          <w:t>Kick-Off Conference</w:t>
        </w:r>
      </w:hyperlink>
      <w:r w:rsidRPr="007601D4">
        <w:t xml:space="preserve"> in June 2024</w:t>
      </w:r>
      <w:r w:rsidR="00A176EE" w:rsidRPr="007601D4">
        <w:t xml:space="preserve"> in Sarajevo</w:t>
      </w:r>
      <w:r w:rsidRPr="007601D4">
        <w:t xml:space="preserve"> and the </w:t>
      </w:r>
      <w:hyperlink r:id="rId76" w:history="1">
        <w:r w:rsidRPr="007601D4">
          <w:rPr>
            <w:rStyle w:val="Hyperlink"/>
          </w:rPr>
          <w:t>Mid-Term Conference</w:t>
        </w:r>
      </w:hyperlink>
      <w:r w:rsidRPr="007601D4">
        <w:t xml:space="preserve">  on 10 April 2025</w:t>
      </w:r>
      <w:r w:rsidR="00A176EE" w:rsidRPr="007601D4">
        <w:t xml:space="preserve"> in Tivat</w:t>
      </w:r>
      <w:r w:rsidRPr="007601D4">
        <w:t xml:space="preserve">. The final conference provided an important platform for working groups from across the WB6 to present the outcomes of their work and exchange experiences. Key achievements included the development of the Green Seat Manual and a methodology for introducing green seats in Local Youth Councils in </w:t>
      </w:r>
      <w:r w:rsidR="00471420" w:rsidRPr="007601D4">
        <w:t>Albania,</w:t>
      </w:r>
      <w:r w:rsidR="00E229B1" w:rsidRPr="007601D4">
        <w:t xml:space="preserve"> youth dialogues and development of the Eco Bonton in Bosnia and Herzegovina, and a comprehensive gap analysis o</w:t>
      </w:r>
      <w:r w:rsidR="00E93CBC">
        <w:t>f</w:t>
      </w:r>
      <w:r w:rsidR="00E229B1" w:rsidRPr="007601D4">
        <w:t xml:space="preserve"> youth participation in environmental decision-making in Kosovo</w:t>
      </w:r>
      <w:r w:rsidR="0083354D">
        <w:t>*</w:t>
      </w:r>
      <w:r w:rsidR="00E229B1" w:rsidRPr="007601D4">
        <w:t xml:space="preserve">. Furthermore, frameworks for Youth Climate Councils were established in </w:t>
      </w:r>
      <w:r w:rsidR="00E229B1" w:rsidRPr="007601D4">
        <w:lastRenderedPageBreak/>
        <w:t>Montenegro, complemented by practical guides, workshops, and educational tools such as the Eco Youth Dictionary developed in North Macedonia.</w:t>
      </w:r>
    </w:p>
    <w:p w14:paraId="7D9E50FA" w14:textId="79BD26B5" w:rsidR="004036D0" w:rsidRPr="007601D4" w:rsidRDefault="004036D0" w:rsidP="0004382C">
      <w:pPr>
        <w:spacing w:line="360" w:lineRule="auto"/>
      </w:pPr>
      <w:r w:rsidRPr="007601D4">
        <w:t>Awareness-raising campaigns further encouraged youth engagement in environmental issues</w:t>
      </w:r>
      <w:r w:rsidR="00A10591" w:rsidRPr="007601D4">
        <w:t>. T</w:t>
      </w:r>
      <w:r w:rsidRPr="007601D4">
        <w:t>ogether, these efforts demonstrated the collaborative spirit of young people in driving sustainable change.</w:t>
      </w:r>
    </w:p>
    <w:p w14:paraId="3D9570EB" w14:textId="4E1826A3" w:rsidR="004036D0" w:rsidRPr="007601D4" w:rsidRDefault="004036D0" w:rsidP="0004382C">
      <w:pPr>
        <w:spacing w:line="360" w:lineRule="auto"/>
      </w:pPr>
      <w:r w:rsidRPr="007601D4">
        <w:t xml:space="preserve">Following the completion of the Green Agenda cycle, a new thematic focus emerged as </w:t>
      </w:r>
      <w:r w:rsidR="007D1BF3" w:rsidRPr="007601D4">
        <w:t xml:space="preserve">a priority. </w:t>
      </w:r>
      <w:r w:rsidRPr="007601D4">
        <w:t xml:space="preserve">The fourth Youth Policy Lab, dedicated to Disinformation and Media Literacy, was officially launched at the </w:t>
      </w:r>
      <w:hyperlink r:id="rId77" w:history="1">
        <w:r w:rsidRPr="007601D4">
          <w:rPr>
            <w:rStyle w:val="Hyperlink"/>
          </w:rPr>
          <w:t>Kick-Off Conference</w:t>
        </w:r>
      </w:hyperlink>
      <w:r w:rsidRPr="007601D4">
        <w:t xml:space="preserve"> </w:t>
      </w:r>
      <w:r w:rsidR="001E1973">
        <w:t xml:space="preserve">on </w:t>
      </w:r>
      <w:r w:rsidRPr="007601D4">
        <w:t>18 November 2025 in Tirana. Prior to the Conference</w:t>
      </w:r>
      <w:r w:rsidR="001309E3">
        <w:t>,</w:t>
      </w:r>
      <w:r w:rsidRPr="007601D4">
        <w:t xml:space="preserve"> Regional Pool of Experts participated in a Training on Youth Policy Lab Methodology aimed at strengthening their understanding of the Youth Policy Lab and clarifying their role. During this initial phase, participants developed </w:t>
      </w:r>
      <w:hyperlink r:id="rId78" w:history="1">
        <w:r w:rsidRPr="007601D4">
          <w:rPr>
            <w:rStyle w:val="Hyperlink"/>
          </w:rPr>
          <w:t>12 regional recommendations</w:t>
        </w:r>
      </w:hyperlink>
      <w:r w:rsidRPr="007601D4">
        <w:t xml:space="preserve"> </w:t>
      </w:r>
      <w:r w:rsidR="0011035A" w:rsidRPr="007601D4">
        <w:t>to</w:t>
      </w:r>
      <w:r w:rsidRPr="007601D4">
        <w:t xml:space="preserve"> guide future activities. Following the conference</w:t>
      </w:r>
      <w:r w:rsidR="0011035A" w:rsidRPr="007601D4">
        <w:t>,</w:t>
      </w:r>
      <w:r w:rsidRPr="007601D4">
        <w:t xml:space="preserve"> each working group submitted requests for technical assistance and capacity</w:t>
      </w:r>
      <w:r w:rsidR="003D4E50" w:rsidRPr="007601D4">
        <w:t>-building support</w:t>
      </w:r>
      <w:r w:rsidRPr="007601D4">
        <w:t xml:space="preserve"> </w:t>
      </w:r>
      <w:r w:rsidR="003D4E50" w:rsidRPr="007601D4">
        <w:t xml:space="preserve">to facilitate </w:t>
      </w:r>
      <w:r w:rsidRPr="007601D4">
        <w:t>the implementation of their initiatives at the local level.</w:t>
      </w:r>
    </w:p>
    <w:p w14:paraId="1FB9691A" w14:textId="03E82538" w:rsidR="005A0DBB" w:rsidRPr="007601D4" w:rsidRDefault="00582B5A" w:rsidP="0004382C">
      <w:pPr>
        <w:spacing w:line="360" w:lineRule="auto"/>
      </w:pPr>
      <w:r w:rsidRPr="007601D4">
        <w:t xml:space="preserve">Progress under the fourth Youth Policy Lab was presented at the </w:t>
      </w:r>
      <w:r w:rsidRPr="007601D4">
        <w:rPr>
          <w:b/>
          <w:bCs/>
        </w:rPr>
        <w:t>Mid-Term Conference on Disinformation and Media Literacy</w:t>
      </w:r>
      <w:r w:rsidRPr="007601D4">
        <w:t xml:space="preserve"> held on 22 April 2026 in Tivat. </w:t>
      </w:r>
      <w:r w:rsidR="008730EA" w:rsidRPr="007601D4">
        <w:t>The event served as a dynamic platform for young people from across the Western Balkans to present achievements and ongoing efforts in strengthening digital resilience and advancing media literacy.</w:t>
      </w:r>
      <w:r w:rsidR="00830142" w:rsidRPr="007601D4">
        <w:t xml:space="preserve"> </w:t>
      </w:r>
      <w:r w:rsidRPr="007601D4">
        <w:t>During the conference, each working group outlined its key activities and areas of focus.</w:t>
      </w:r>
      <w:r w:rsidR="009F678C" w:rsidRPr="007601D4">
        <w:t xml:space="preserve"> In Albania, efforts focus on research into youth skills </w:t>
      </w:r>
      <w:r w:rsidR="00100402">
        <w:t>for</w:t>
      </w:r>
      <w:r w:rsidR="009F678C" w:rsidRPr="007601D4">
        <w:t xml:space="preserve"> using AI tools, alongside the development of a Code of Conduct for social media influencers and the organisation of a bootcamp. In Bosnia and Herzegovina, activities centre on developing practical handbooks and guidelines to better integrate youth perspectives into journalism and institutional communication, complemented by research on youth representation in the media and a follow-up media campaign.</w:t>
      </w:r>
      <w:r w:rsidR="00ED441A" w:rsidRPr="007601D4">
        <w:t xml:space="preserve"> </w:t>
      </w:r>
      <w:r w:rsidR="005A0DBB" w:rsidRPr="007601D4">
        <w:t>In Kosovo</w:t>
      </w:r>
      <w:r w:rsidR="008A0334" w:rsidRPr="007601D4">
        <w:t>*</w:t>
      </w:r>
      <w:r w:rsidR="005A0DBB" w:rsidRPr="007601D4">
        <w:t xml:space="preserve">, work is focused on developing a disinformation and media literacy manual. In Montenegro, activities aim to improve media literacy through research on youth visibility and participation in television media, supported by workshops, press conferences, and formalised cooperation mechanisms. In North Macedonia, efforts are directed towards introducing media literacy as an elective subject in school curricula, </w:t>
      </w:r>
      <w:r w:rsidR="00EF2B54" w:rsidRPr="007601D4">
        <w:t>supported</w:t>
      </w:r>
      <w:r w:rsidR="005A0DBB" w:rsidRPr="007601D4">
        <w:t xml:space="preserve"> by research and advocacy campaigns. In Serbia, activities include research on youth competencies in AI and media literacy, followed by training of trainers, local training</w:t>
      </w:r>
      <w:r w:rsidR="00BB3B87">
        <w:t xml:space="preserve"> </w:t>
      </w:r>
      <w:r w:rsidR="005A0DBB" w:rsidRPr="007601D4">
        <w:t>s</w:t>
      </w:r>
      <w:r w:rsidR="00BB3B87">
        <w:t>essions</w:t>
      </w:r>
      <w:r w:rsidR="005A0DBB" w:rsidRPr="007601D4">
        <w:t>, and a media campaign.</w:t>
      </w:r>
    </w:p>
    <w:p w14:paraId="6DC85338" w14:textId="7AB565CA" w:rsidR="00E22328" w:rsidRPr="007601D4" w:rsidRDefault="004036D0" w:rsidP="0004382C">
      <w:pPr>
        <w:spacing w:line="360" w:lineRule="auto"/>
      </w:pPr>
      <w:r w:rsidRPr="007601D4">
        <w:lastRenderedPageBreak/>
        <w:t>To ensure that youth voices are not only heard but meaningfully represented in policy processes youth structures must operate in a professional, inclusive, and sustainable manner</w:t>
      </w:r>
      <w:r w:rsidR="00082C11">
        <w:t>,</w:t>
      </w:r>
      <w:r w:rsidRPr="007601D4">
        <w:t xml:space="preserve"> particularly when engaging diverse groups of young people. In this context, WBYL2 provided targeted capacity-building support aimed at strengthening the internal organisational capacities of Youth Councils across the region. The Youth Congress of Albania was supported through </w:t>
      </w:r>
      <w:r w:rsidR="00067405" w:rsidRPr="007601D4">
        <w:t>a two-day strategic planning workshop for Local Coordinators. The workshop focused on analysing internal and external factors affecting the network’s development and on defining a roadmap to address identified risks in preparation for the Youth Council General Assembly in 2026.</w:t>
      </w:r>
      <w:r w:rsidR="0041716D" w:rsidRPr="007601D4">
        <w:t xml:space="preserve"> </w:t>
      </w:r>
      <w:r w:rsidR="000F4A3D" w:rsidRPr="007601D4">
        <w:t xml:space="preserve">The Youth Council of the Federation of Bosnia and Herzegovina received support in developing a methodological framework for monitoring the implementation of the Youth Law. The framework focuses on youth organising, participation in decision-making, and the development of local youth policies, alongside improvements </w:t>
      </w:r>
      <w:r w:rsidR="006E632E">
        <w:t>of</w:t>
      </w:r>
      <w:r w:rsidR="000F4A3D" w:rsidRPr="007601D4">
        <w:t xml:space="preserve"> the Council’s web platform.</w:t>
      </w:r>
      <w:r w:rsidR="00CA5B76" w:rsidRPr="007601D4">
        <w:t xml:space="preserve"> </w:t>
      </w:r>
      <w:r w:rsidR="00C57089" w:rsidRPr="007601D4">
        <w:t>The Youth Council Kosovo* (KYC) was supported through strategic communication and digital transformation initiatives aimed at enhancing its visibility and strengthening youth engagement.</w:t>
      </w:r>
      <w:r w:rsidR="009B1E87" w:rsidRPr="007601D4">
        <w:t xml:space="preserve"> The </w:t>
      </w:r>
      <w:r w:rsidR="00E82EAD" w:rsidRPr="007601D4">
        <w:t>Youth Network Montenegro received support to strengthen its capacities for meaningful youth participation in Green Agenda policy processes. The intervention focused on improving skills for engagement in structured green dialogue, with the objective of reinforcing cooperation between youth and governmental institutions.</w:t>
      </w:r>
      <w:r w:rsidR="006B55F3" w:rsidRPr="007601D4">
        <w:t xml:space="preserve"> </w:t>
      </w:r>
      <w:r w:rsidR="00E22328" w:rsidRPr="007601D4">
        <w:t xml:space="preserve">The Youth Council of </w:t>
      </w:r>
      <w:r w:rsidR="005C32C2" w:rsidRPr="007601D4">
        <w:t xml:space="preserve">North </w:t>
      </w:r>
      <w:r w:rsidR="00E22328" w:rsidRPr="007601D4">
        <w:t>Macedonia (NYCM) received targeted capacity-building support focused on developing a comprehensive Communication Plan for 2025 and creating a renewed visual identity.</w:t>
      </w:r>
      <w:r w:rsidR="00321CB2" w:rsidRPr="007601D4">
        <w:t xml:space="preserve"> </w:t>
      </w:r>
      <w:r w:rsidR="00E22328" w:rsidRPr="007601D4">
        <w:t>The Youth Council of Serbia (KOMS) was supported in strengthening its internal governance and communication capacities to enhance transparency, accountability, and institutional credibility. This included the development of a Crisis Communication Plan, drafting of an Ethical Code and Rules of Procedure for the Governing Board, and capacity-building in project writing, fundraising, and strategic communication.</w:t>
      </w:r>
    </w:p>
    <w:p w14:paraId="26FE4BA9" w14:textId="04C06E1F" w:rsidR="002341DB" w:rsidRPr="007601D4" w:rsidRDefault="004036D0" w:rsidP="0004382C">
      <w:pPr>
        <w:spacing w:line="360" w:lineRule="auto"/>
      </w:pPr>
      <w:r w:rsidRPr="007601D4">
        <w:t xml:space="preserve">In addition to the Youth Policy Labs, WBYL2 organised two Regional Fireside Talks during the reporting period. The </w:t>
      </w:r>
      <w:r w:rsidRPr="007601D4">
        <w:rPr>
          <w:b/>
          <w:bCs/>
        </w:rPr>
        <w:t>fourth Fireside Talk</w:t>
      </w:r>
      <w:r w:rsidRPr="007601D4">
        <w:t xml:space="preserve"> took place on 18 November 2025 in Tirana under the title </w:t>
      </w:r>
      <w:hyperlink r:id="rId79" w:history="1">
        <w:r w:rsidRPr="007601D4">
          <w:rPr>
            <w:rStyle w:val="Hyperlink"/>
            <w:i/>
            <w:iCs/>
          </w:rPr>
          <w:t>The Growth Plan &amp; Common Regional Market: Where Does Youth Fit In?</w:t>
        </w:r>
        <w:r w:rsidRPr="007601D4">
          <w:rPr>
            <w:rStyle w:val="Hyperlink"/>
          </w:rPr>
          <w:t>.</w:t>
        </w:r>
      </w:hyperlink>
      <w:r w:rsidRPr="007601D4">
        <w:t xml:space="preserve"> </w:t>
      </w:r>
      <w:r w:rsidR="009A38F7" w:rsidRPr="007601D4">
        <w:t xml:space="preserve">The discussion brought together representatives from the RCC, the Delegation of the European Union to Albania, the Embassy of Sweden to Albania, the Ministry of Culture, Sports and Tourism, and the Regional Youth Cooperation Office (RYCO). It fostered an open and </w:t>
      </w:r>
      <w:r w:rsidR="009A38F7" w:rsidRPr="007601D4">
        <w:lastRenderedPageBreak/>
        <w:t>interactive exchange with young participants actively engaging with high-level speakers in a candid dialogue.</w:t>
      </w:r>
    </w:p>
    <w:p w14:paraId="65D4B40E" w14:textId="709F90C8" w:rsidR="009A38F7" w:rsidRPr="007601D4" w:rsidRDefault="009A38F7" w:rsidP="0004382C">
      <w:pPr>
        <w:spacing w:line="360" w:lineRule="auto"/>
      </w:pPr>
      <w:r w:rsidRPr="00590B5C">
        <w:t xml:space="preserve">The </w:t>
      </w:r>
      <w:r w:rsidRPr="00590B5C">
        <w:rPr>
          <w:b/>
          <w:bCs/>
        </w:rPr>
        <w:t>fifth Fireside Talk</w:t>
      </w:r>
      <w:r w:rsidRPr="00590B5C">
        <w:t xml:space="preserve"> was held</w:t>
      </w:r>
      <w:r w:rsidRPr="007601D4">
        <w:t xml:space="preserve"> on the margins of the </w:t>
      </w:r>
      <w:r w:rsidRPr="007601D4">
        <w:rPr>
          <w:b/>
          <w:bCs/>
        </w:rPr>
        <w:t>ESG Adria Summit</w:t>
      </w:r>
      <w:r w:rsidR="00A27585" w:rsidRPr="007601D4">
        <w:t xml:space="preserve"> on 22 April</w:t>
      </w:r>
      <w:r w:rsidR="004C1123" w:rsidRPr="007601D4">
        <w:t xml:space="preserve"> 2026</w:t>
      </w:r>
      <w:r w:rsidRPr="007601D4">
        <w:t xml:space="preserve"> in Tivat, providing a platform for young people to engage directly with senior representatives, including the RCC Secretary General</w:t>
      </w:r>
      <w:r w:rsidR="00B71994">
        <w:t>;</w:t>
      </w:r>
      <w:r w:rsidRPr="007601D4">
        <w:t xml:space="preserve"> </w:t>
      </w:r>
      <w:r w:rsidR="0052077A" w:rsidRPr="007601D4">
        <w:t xml:space="preserve">Deputy Prime Minister of Montenegro for Foreign and European Affairs; Ambassador of Ireland to Serbia and to Montenegro; Ambassador of the European Union to Montenegro; and Founder of </w:t>
      </w:r>
      <w:proofErr w:type="spellStart"/>
      <w:r w:rsidR="0052077A" w:rsidRPr="007601D4">
        <w:t>Sustineri</w:t>
      </w:r>
      <w:proofErr w:type="spellEnd"/>
      <w:r w:rsidR="0052077A" w:rsidRPr="007601D4">
        <w:t xml:space="preserve"> Partners and the Adria Future Summit.</w:t>
      </w:r>
      <w:r w:rsidR="006A1315" w:rsidRPr="007601D4">
        <w:t xml:space="preserve"> Topics included the stability of the Western Balkans, progress in the European Union integration process, and strengthening regional cooperation</w:t>
      </w:r>
      <w:r w:rsidR="00F233FC">
        <w:t>.</w:t>
      </w:r>
    </w:p>
    <w:p w14:paraId="639057E5" w14:textId="34823262" w:rsidR="00DB5CC2" w:rsidRPr="007601D4" w:rsidRDefault="004036D0" w:rsidP="0004382C">
      <w:pPr>
        <w:spacing w:line="360" w:lineRule="auto"/>
      </w:pPr>
      <w:r w:rsidRPr="007601D4">
        <w:t>Furthermore, WBYL2 supported the participation of young representatives from the Western Balkans in high-level international events</w:t>
      </w:r>
      <w:r w:rsidR="00E54805" w:rsidRPr="007601D4">
        <w:t>, strengthening their engagement in regional and European policy discussions.</w:t>
      </w:r>
      <w:r w:rsidR="00157876" w:rsidRPr="007601D4">
        <w:t xml:space="preserve"> </w:t>
      </w:r>
      <w:r w:rsidRPr="007601D4">
        <w:t xml:space="preserve">These included the fifth edition of the International </w:t>
      </w:r>
      <w:r w:rsidRPr="007601D4">
        <w:rPr>
          <w:b/>
          <w:bCs/>
          <w:i/>
          <w:iCs/>
        </w:rPr>
        <w:t xml:space="preserve">EYC </w:t>
      </w:r>
      <w:proofErr w:type="spellStart"/>
      <w:r w:rsidRPr="007601D4">
        <w:rPr>
          <w:b/>
          <w:bCs/>
          <w:i/>
          <w:iCs/>
        </w:rPr>
        <w:t>Educo</w:t>
      </w:r>
      <w:proofErr w:type="spellEnd"/>
      <w:r w:rsidRPr="007601D4">
        <w:rPr>
          <w:b/>
          <w:bCs/>
          <w:i/>
          <w:iCs/>
        </w:rPr>
        <w:t xml:space="preserve"> Camp</w:t>
      </w:r>
      <w:r w:rsidRPr="007601D4">
        <w:t>, held from 12</w:t>
      </w:r>
      <w:r w:rsidR="00D95AB5">
        <w:t xml:space="preserve"> to </w:t>
      </w:r>
      <w:r w:rsidRPr="007601D4">
        <w:t xml:space="preserve">14 August 2025 in </w:t>
      </w:r>
      <w:proofErr w:type="spellStart"/>
      <w:r w:rsidRPr="007601D4">
        <w:t>Mojkovac</w:t>
      </w:r>
      <w:proofErr w:type="spellEnd"/>
      <w:r w:rsidRPr="007601D4">
        <w:t xml:space="preserve">, which </w:t>
      </w:r>
      <w:r w:rsidR="00157876" w:rsidRPr="007601D4">
        <w:t>brough together y</w:t>
      </w:r>
      <w:r w:rsidRPr="007601D4">
        <w:t xml:space="preserve">oung people from the region and the EU to develop skills in sustainability, entrepreneurship, digital safety, communication, and leadership through interactive workshops and discussions. </w:t>
      </w:r>
    </w:p>
    <w:p w14:paraId="4656AA44" w14:textId="0B04DEA5" w:rsidR="004036D0" w:rsidRPr="007601D4" w:rsidRDefault="004036D0" w:rsidP="0004382C">
      <w:pPr>
        <w:spacing w:line="360" w:lineRule="auto"/>
      </w:pPr>
      <w:r w:rsidRPr="007601D4">
        <w:t xml:space="preserve">WBYL2 </w:t>
      </w:r>
      <w:r w:rsidR="00DB5CC2" w:rsidRPr="007601D4">
        <w:t xml:space="preserve">also </w:t>
      </w:r>
      <w:r w:rsidRPr="007601D4">
        <w:t xml:space="preserve">facilitated youth participation in the </w:t>
      </w:r>
      <w:r w:rsidRPr="007601D4">
        <w:rPr>
          <w:b/>
          <w:bCs/>
          <w:i/>
          <w:iCs/>
        </w:rPr>
        <w:t>European Values for the Future of the SEE Region</w:t>
      </w:r>
      <w:r w:rsidRPr="007601D4">
        <w:t xml:space="preserve">, held in </w:t>
      </w:r>
      <w:proofErr w:type="spellStart"/>
      <w:r w:rsidRPr="007601D4">
        <w:t>Kru</w:t>
      </w:r>
      <w:r w:rsidR="00D36213" w:rsidRPr="007601D4">
        <w:t>š</w:t>
      </w:r>
      <w:r w:rsidRPr="007601D4">
        <w:t>evo</w:t>
      </w:r>
      <w:proofErr w:type="spellEnd"/>
      <w:r w:rsidRPr="007601D4">
        <w:t xml:space="preserve"> in September 2025. The event </w:t>
      </w:r>
      <w:r w:rsidR="006C7B3A" w:rsidRPr="007601D4">
        <w:t>convened</w:t>
      </w:r>
      <w:r w:rsidRPr="007601D4">
        <w:t xml:space="preserve"> young leaders, policymakers, and civil society representatives </w:t>
      </w:r>
      <w:r w:rsidR="000533FA" w:rsidRPr="007601D4">
        <w:t>for thematic sessions on EU integration, peacebuilding, digital transformation, and media collaboration, with a strong focus on empowering youth as active contributors to the region’s future.</w:t>
      </w:r>
      <w:r w:rsidRPr="007601D4">
        <w:t xml:space="preserve"> Building on their engagement in international platforms such as </w:t>
      </w:r>
      <w:r w:rsidRPr="007601D4">
        <w:rPr>
          <w:i/>
          <w:iCs/>
        </w:rPr>
        <w:t>Bridging the Gap</w:t>
      </w:r>
      <w:r w:rsidRPr="007601D4">
        <w:t xml:space="preserve"> in Tirana</w:t>
      </w:r>
      <w:r w:rsidR="004E3927" w:rsidRPr="007601D4">
        <w:t>, young participants</w:t>
      </w:r>
      <w:r w:rsidR="00D15111" w:rsidRPr="007601D4">
        <w:t xml:space="preserve"> also took part in </w:t>
      </w:r>
      <w:r w:rsidRPr="007601D4">
        <w:t xml:space="preserve">the </w:t>
      </w:r>
      <w:r w:rsidRPr="007601D4">
        <w:rPr>
          <w:b/>
          <w:bCs/>
          <w:i/>
          <w:iCs/>
        </w:rPr>
        <w:t>EU Global Gateway</w:t>
      </w:r>
      <w:r w:rsidRPr="007601D4">
        <w:t xml:space="preserve"> </w:t>
      </w:r>
      <w:r w:rsidR="00D15111" w:rsidRPr="007601D4">
        <w:t xml:space="preserve">event </w:t>
      </w:r>
      <w:r w:rsidRPr="007601D4">
        <w:t xml:space="preserve">in May </w:t>
      </w:r>
      <w:r w:rsidR="004010D4" w:rsidRPr="007601D4">
        <w:t xml:space="preserve">2025 </w:t>
      </w:r>
      <w:r w:rsidR="0053395A" w:rsidRPr="007601D4">
        <w:t xml:space="preserve">in Brussels </w:t>
      </w:r>
      <w:r w:rsidRPr="007601D4">
        <w:t xml:space="preserve">and the </w:t>
      </w:r>
      <w:r w:rsidRPr="007601D4">
        <w:rPr>
          <w:b/>
          <w:bCs/>
          <w:i/>
          <w:iCs/>
        </w:rPr>
        <w:t xml:space="preserve">European Youth Event </w:t>
      </w:r>
      <w:r w:rsidRPr="007601D4">
        <w:t>in June</w:t>
      </w:r>
      <w:r w:rsidR="004010D4" w:rsidRPr="007601D4">
        <w:t xml:space="preserve"> 2025</w:t>
      </w:r>
      <w:r w:rsidR="0053395A" w:rsidRPr="007601D4">
        <w:t xml:space="preserve"> in Strasbourg</w:t>
      </w:r>
      <w:r w:rsidRPr="007601D4">
        <w:t xml:space="preserve">. These opportunities enabled young people to contribute to </w:t>
      </w:r>
      <w:r w:rsidR="00600C88" w:rsidRPr="007601D4">
        <w:t xml:space="preserve">international </w:t>
      </w:r>
      <w:r w:rsidRPr="007601D4">
        <w:t>discussions, exchange ideas, and strengthen their role in shaping regional and European agendas.</w:t>
      </w:r>
    </w:p>
    <w:p w14:paraId="41A9060D" w14:textId="77777777" w:rsidR="004F41E4" w:rsidRPr="007601D4" w:rsidRDefault="001C1D50" w:rsidP="0004382C">
      <w:pPr>
        <w:pStyle w:val="Heading3"/>
        <w:spacing w:line="360" w:lineRule="auto"/>
        <w:ind w:firstLine="720"/>
        <w:jc w:val="both"/>
        <w:rPr>
          <w:rFonts w:eastAsia="Calibri"/>
        </w:rPr>
      </w:pPr>
      <w:bookmarkStart w:id="32" w:name="_Toc228451786"/>
      <w:r w:rsidRPr="007601D4">
        <w:rPr>
          <w:rFonts w:eastAsia="Calibri"/>
        </w:rPr>
        <w:t>A5.2. Integrative Internal Security Governance (IISG)</w:t>
      </w:r>
      <w:r w:rsidRPr="007601D4">
        <w:rPr>
          <w:rFonts w:eastAsia="Calibri"/>
          <w:vertAlign w:val="superscript"/>
        </w:rPr>
        <w:footnoteReference w:id="7"/>
      </w:r>
      <w:bookmarkStart w:id="33" w:name="_Toc133825144"/>
      <w:bookmarkEnd w:id="31"/>
      <w:bookmarkEnd w:id="32"/>
    </w:p>
    <w:p w14:paraId="5A5C0D8B" w14:textId="465406CB" w:rsidR="00EB7062" w:rsidRPr="007601D4" w:rsidRDefault="00EB7062" w:rsidP="0004382C">
      <w:pPr>
        <w:spacing w:line="360" w:lineRule="auto"/>
        <w:rPr>
          <w:rFonts w:eastAsia="Times New Roman" w:cs="Times New Roman"/>
          <w:szCs w:val="24"/>
        </w:rPr>
      </w:pPr>
      <w:r w:rsidRPr="007601D4">
        <w:rPr>
          <w:rFonts w:eastAsia="Times New Roman" w:cs="Times New Roman"/>
          <w:szCs w:val="24"/>
        </w:rPr>
        <w:t xml:space="preserve">During the reporting period, the RCC-led IISG strengthened its role as the central regional coordination mechanism for internal security in the Western Balkans, advancing towards a </w:t>
      </w:r>
      <w:r w:rsidRPr="007601D4">
        <w:rPr>
          <w:rFonts w:eastAsia="Times New Roman" w:cs="Times New Roman"/>
          <w:szCs w:val="24"/>
        </w:rPr>
        <w:lastRenderedPageBreak/>
        <w:t>more integrated Security Governance Hub (SGH). Progress was marked by consolidation of governance structures, operationalisation of the Cybersecurity Pillar, and enhanced analytical and coordination capacities. The launch of the Cybersecurity Database, alongside upgrades to IISG systems</w:t>
      </w:r>
      <w:r w:rsidR="004B0320" w:rsidRPr="007601D4">
        <w:rPr>
          <w:rFonts w:eastAsia="Times New Roman" w:cs="Times New Roman"/>
          <w:szCs w:val="24"/>
        </w:rPr>
        <w:t xml:space="preserve"> aligned with </w:t>
      </w:r>
      <w:r w:rsidR="00575EB9">
        <w:rPr>
          <w:rFonts w:eastAsia="Times New Roman" w:cs="Times New Roman"/>
          <w:szCs w:val="24"/>
        </w:rPr>
        <w:t xml:space="preserve">the </w:t>
      </w:r>
      <w:r w:rsidR="004B0320" w:rsidRPr="007601D4">
        <w:rPr>
          <w:rFonts w:eastAsia="Times New Roman" w:cs="Times New Roman"/>
          <w:szCs w:val="24"/>
        </w:rPr>
        <w:t>Joint Action Plan (JAP) objectives</w:t>
      </w:r>
      <w:r w:rsidRPr="007601D4">
        <w:rPr>
          <w:rFonts w:eastAsia="Times New Roman" w:cs="Times New Roman"/>
          <w:szCs w:val="24"/>
        </w:rPr>
        <w:t>, improved the mapping of regional needs and donor support, while a comprehensive outreach and validation process ensured data accuracy and strategic alignment.</w:t>
      </w:r>
    </w:p>
    <w:p w14:paraId="3664E48A" w14:textId="2E06DED6" w:rsidR="00595C85" w:rsidRPr="007601D4" w:rsidRDefault="00595C85" w:rsidP="0004382C">
      <w:pPr>
        <w:spacing w:line="360" w:lineRule="auto"/>
        <w:rPr>
          <w:rFonts w:eastAsia="Times New Roman" w:cs="Times New Roman"/>
          <w:szCs w:val="24"/>
        </w:rPr>
      </w:pPr>
      <w:r w:rsidRPr="007601D4">
        <w:rPr>
          <w:rFonts w:eastAsia="Times New Roman" w:cs="Times New Roman"/>
          <w:szCs w:val="24"/>
        </w:rPr>
        <w:t>Stakeholder engagement remained strong, with broad participation from the WB6, EU Member States</w:t>
      </w:r>
      <w:r w:rsidR="00B1543A" w:rsidRPr="007601D4">
        <w:rPr>
          <w:rStyle w:val="FootnoteReference"/>
          <w:rFonts w:eastAsia="Times New Roman" w:cs="Times New Roman"/>
          <w:szCs w:val="24"/>
        </w:rPr>
        <w:footnoteReference w:id="8"/>
      </w:r>
      <w:r w:rsidRPr="007601D4">
        <w:rPr>
          <w:rFonts w:eastAsia="Times New Roman" w:cs="Times New Roman"/>
          <w:szCs w:val="24"/>
        </w:rPr>
        <w:t>, and international partners, and growing use of IISG tools</w:t>
      </w:r>
      <w:r w:rsidR="001E0A0E" w:rsidRPr="007601D4">
        <w:rPr>
          <w:rStyle w:val="FootnoteReference"/>
          <w:rFonts w:eastAsia="Times New Roman" w:cs="Times New Roman"/>
          <w:szCs w:val="24"/>
        </w:rPr>
        <w:footnoteReference w:id="9"/>
      </w:r>
      <w:r w:rsidRPr="007601D4">
        <w:rPr>
          <w:rFonts w:eastAsia="Times New Roman" w:cs="Times New Roman"/>
          <w:szCs w:val="24"/>
        </w:rPr>
        <w:t>. The second cycle of needs mapping identified over 900 regional needs</w:t>
      </w:r>
      <w:r w:rsidR="008D39AC" w:rsidRPr="007601D4">
        <w:rPr>
          <w:rFonts w:eastAsia="Times New Roman" w:cs="Times New Roman"/>
          <w:szCs w:val="24"/>
        </w:rPr>
        <w:t xml:space="preserve"> across three pillars</w:t>
      </w:r>
      <w:r w:rsidRPr="007601D4">
        <w:rPr>
          <w:rFonts w:eastAsia="Times New Roman" w:cs="Times New Roman"/>
          <w:szCs w:val="24"/>
        </w:rPr>
        <w:t>,</w:t>
      </w:r>
      <w:r w:rsidR="002C1D86" w:rsidRPr="007601D4">
        <w:rPr>
          <w:rFonts w:eastAsia="Times New Roman" w:cs="Times New Roman"/>
          <w:szCs w:val="24"/>
        </w:rPr>
        <w:t xml:space="preserve"> and</w:t>
      </w:r>
      <w:r w:rsidRPr="007601D4">
        <w:rPr>
          <w:rFonts w:eastAsia="Times New Roman" w:cs="Times New Roman"/>
          <w:szCs w:val="24"/>
        </w:rPr>
        <w:t xml:space="preserve"> 225</w:t>
      </w:r>
      <w:r w:rsidR="002C1D86" w:rsidRPr="007601D4">
        <w:rPr>
          <w:rFonts w:eastAsia="Times New Roman" w:cs="Times New Roman"/>
          <w:szCs w:val="24"/>
        </w:rPr>
        <w:t xml:space="preserve"> </w:t>
      </w:r>
      <w:r w:rsidR="0005300F" w:rsidRPr="007601D4">
        <w:rPr>
          <w:rFonts w:eastAsia="Times New Roman" w:cs="Times New Roman"/>
          <w:szCs w:val="24"/>
        </w:rPr>
        <w:t>in cybersecurity</w:t>
      </w:r>
      <w:r w:rsidRPr="007601D4">
        <w:rPr>
          <w:rFonts w:eastAsia="Times New Roman" w:cs="Times New Roman"/>
          <w:szCs w:val="24"/>
        </w:rPr>
        <w:t xml:space="preserve">, while the number of registered projects rose to 129, strengthening the evidence base for coordinated action. </w:t>
      </w:r>
      <w:r w:rsidR="00313367" w:rsidRPr="007601D4">
        <w:rPr>
          <w:rFonts w:eastAsia="Times New Roman" w:cs="Times New Roman"/>
          <w:szCs w:val="24"/>
        </w:rPr>
        <w:t xml:space="preserve">Priorities include critical infrastructure protection, legal alignment with EU and FATF standards, law enforcement and investigative capacities, system interoperability, and specialised cybersecurity capabilities. </w:t>
      </w:r>
    </w:p>
    <w:p w14:paraId="486BCE50" w14:textId="6B3ACC64" w:rsidR="006E3966" w:rsidRPr="007601D4" w:rsidRDefault="006E3966" w:rsidP="0004382C">
      <w:pPr>
        <w:spacing w:line="360" w:lineRule="auto"/>
        <w:rPr>
          <w:rFonts w:eastAsia="Times New Roman" w:cs="Times New Roman"/>
          <w:szCs w:val="24"/>
        </w:rPr>
      </w:pPr>
      <w:r w:rsidRPr="007601D4">
        <w:rPr>
          <w:rFonts w:eastAsia="Times New Roman" w:cs="Times New Roman"/>
          <w:szCs w:val="24"/>
        </w:rPr>
        <w:t xml:space="preserve">Structured </w:t>
      </w:r>
      <w:r w:rsidR="0003056F" w:rsidRPr="007601D4">
        <w:rPr>
          <w:rFonts w:eastAsia="Times New Roman" w:cs="Times New Roman"/>
          <w:szCs w:val="24"/>
        </w:rPr>
        <w:t>donor coordination</w:t>
      </w:r>
      <w:r w:rsidRPr="007601D4">
        <w:rPr>
          <w:rFonts w:eastAsia="Times New Roman" w:cs="Times New Roman"/>
          <w:szCs w:val="24"/>
        </w:rPr>
        <w:t xml:space="preserve"> and high-level engagements, including CyberPulse2025, </w:t>
      </w:r>
      <w:r w:rsidR="00D96AC5" w:rsidRPr="007601D4">
        <w:rPr>
          <w:rFonts w:cs="Times New Roman"/>
          <w:szCs w:val="24"/>
        </w:rPr>
        <w:t>Regional Network of CT/P-CVE Coordinators</w:t>
      </w:r>
      <w:r w:rsidR="00D96AC5" w:rsidRPr="007601D4">
        <w:rPr>
          <w:rFonts w:cs="Times New Roman"/>
          <w:b/>
          <w:szCs w:val="24"/>
        </w:rPr>
        <w:t xml:space="preserve"> (</w:t>
      </w:r>
      <w:r w:rsidR="00D96AC5" w:rsidRPr="007601D4">
        <w:rPr>
          <w:rFonts w:eastAsia="Times New Roman" w:cs="Times New Roman"/>
          <w:szCs w:val="24"/>
        </w:rPr>
        <w:t>RNNC)</w:t>
      </w:r>
      <w:r w:rsidR="00481CEE" w:rsidRPr="007601D4">
        <w:rPr>
          <w:rFonts w:eastAsia="Times New Roman" w:cs="Times New Roman"/>
          <w:szCs w:val="24"/>
        </w:rPr>
        <w:t xml:space="preserve"> and </w:t>
      </w:r>
      <w:r w:rsidR="00324A80">
        <w:rPr>
          <w:rFonts w:eastAsia="Times New Roman" w:cs="Times New Roman"/>
          <w:szCs w:val="24"/>
        </w:rPr>
        <w:t>s</w:t>
      </w:r>
      <w:r w:rsidR="00481CEE" w:rsidRPr="007601D4">
        <w:rPr>
          <w:rFonts w:eastAsia="Times New Roman" w:cs="Times New Roman"/>
          <w:szCs w:val="24"/>
        </w:rPr>
        <w:t>teering meetings</w:t>
      </w:r>
      <w:r w:rsidR="00324A80">
        <w:rPr>
          <w:rFonts w:eastAsia="Times New Roman" w:cs="Times New Roman"/>
          <w:szCs w:val="24"/>
        </w:rPr>
        <w:t>,</w:t>
      </w:r>
      <w:r w:rsidR="00481CEE" w:rsidRPr="007601D4">
        <w:rPr>
          <w:rFonts w:eastAsia="Times New Roman" w:cs="Times New Roman"/>
          <w:szCs w:val="24"/>
        </w:rPr>
        <w:t xml:space="preserve"> </w:t>
      </w:r>
      <w:r w:rsidRPr="007601D4">
        <w:rPr>
          <w:rFonts w:eastAsia="Times New Roman" w:cs="Times New Roman"/>
          <w:szCs w:val="24"/>
        </w:rPr>
        <w:t>further strengthened coordination and visibility, with the Cybersecurity Database providing a transparent overview of needs and support.</w:t>
      </w:r>
    </w:p>
    <w:p w14:paraId="4984D7A3" w14:textId="6318C580" w:rsidR="003A048D" w:rsidRPr="007601D4" w:rsidRDefault="00362546" w:rsidP="0004382C">
      <w:pPr>
        <w:spacing w:line="360" w:lineRule="auto"/>
        <w:contextualSpacing/>
        <w:rPr>
          <w:rFonts w:eastAsia="Times New Roman" w:cs="Times New Roman"/>
          <w:szCs w:val="24"/>
        </w:rPr>
      </w:pPr>
      <w:r w:rsidRPr="007601D4">
        <w:rPr>
          <w:rFonts w:eastAsia="Times New Roman" w:cs="Times New Roman"/>
          <w:szCs w:val="24"/>
        </w:rPr>
        <w:t>P</w:t>
      </w:r>
      <w:r w:rsidR="003A048D" w:rsidRPr="007601D4">
        <w:rPr>
          <w:rFonts w:eastAsia="Times New Roman" w:cs="Times New Roman"/>
          <w:szCs w:val="24"/>
        </w:rPr>
        <w:t xml:space="preserve">artnerships with organisations such as </w:t>
      </w:r>
      <w:r w:rsidR="00744893" w:rsidRPr="007601D4">
        <w:rPr>
          <w:rFonts w:eastAsia="Times New Roman" w:cs="Times New Roman"/>
          <w:szCs w:val="24"/>
        </w:rPr>
        <w:t>Deutsche Gesellschaft für Internationale Zusammenarbeit (</w:t>
      </w:r>
      <w:r w:rsidR="003A048D" w:rsidRPr="007601D4">
        <w:rPr>
          <w:rFonts w:eastAsia="Times New Roman" w:cs="Times New Roman"/>
          <w:szCs w:val="24"/>
        </w:rPr>
        <w:t>GIZ</w:t>
      </w:r>
      <w:r w:rsidR="00744893" w:rsidRPr="007601D4">
        <w:rPr>
          <w:rFonts w:eastAsia="Times New Roman" w:cs="Times New Roman"/>
          <w:szCs w:val="24"/>
        </w:rPr>
        <w:t>)</w:t>
      </w:r>
      <w:r w:rsidR="003A048D" w:rsidRPr="007601D4">
        <w:rPr>
          <w:rFonts w:eastAsia="Times New Roman" w:cs="Times New Roman"/>
          <w:szCs w:val="24"/>
        </w:rPr>
        <w:t xml:space="preserve">, </w:t>
      </w:r>
      <w:r w:rsidR="00744893" w:rsidRPr="007601D4">
        <w:rPr>
          <w:rFonts w:eastAsia="Times New Roman" w:cs="Times New Roman"/>
          <w:szCs w:val="24"/>
        </w:rPr>
        <w:t>European Union Agency for Law Enforcement Training (</w:t>
      </w:r>
      <w:r w:rsidR="003A048D" w:rsidRPr="007601D4">
        <w:rPr>
          <w:rFonts w:eastAsia="Times New Roman" w:cs="Times New Roman"/>
          <w:szCs w:val="24"/>
        </w:rPr>
        <w:t>CEPOL</w:t>
      </w:r>
      <w:r w:rsidR="00744893" w:rsidRPr="007601D4">
        <w:rPr>
          <w:rFonts w:eastAsia="Times New Roman" w:cs="Times New Roman"/>
          <w:szCs w:val="24"/>
        </w:rPr>
        <w:t>)</w:t>
      </w:r>
      <w:r w:rsidR="003A048D" w:rsidRPr="007601D4">
        <w:rPr>
          <w:rFonts w:eastAsia="Times New Roman" w:cs="Times New Roman"/>
          <w:szCs w:val="24"/>
        </w:rPr>
        <w:t>, CIVIPOL</w:t>
      </w:r>
      <w:r w:rsidR="00C2323A" w:rsidRPr="007601D4">
        <w:rPr>
          <w:rStyle w:val="FootnoteReference"/>
          <w:rFonts w:eastAsia="Times New Roman" w:cs="Times New Roman"/>
          <w:szCs w:val="24"/>
        </w:rPr>
        <w:footnoteReference w:id="10"/>
      </w:r>
      <w:r w:rsidR="003A048D" w:rsidRPr="007601D4">
        <w:rPr>
          <w:rFonts w:eastAsia="Times New Roman" w:cs="Times New Roman"/>
          <w:szCs w:val="24"/>
        </w:rPr>
        <w:t xml:space="preserve">, OSCE, and WB3C </w:t>
      </w:r>
      <w:r w:rsidR="00CE658F" w:rsidRPr="007601D4">
        <w:rPr>
          <w:rFonts w:eastAsia="Times New Roman" w:cs="Times New Roman"/>
          <w:szCs w:val="24"/>
        </w:rPr>
        <w:t>were strengthened</w:t>
      </w:r>
      <w:r w:rsidR="007F0514">
        <w:rPr>
          <w:rFonts w:eastAsia="Times New Roman" w:cs="Times New Roman"/>
          <w:szCs w:val="24"/>
        </w:rPr>
        <w:t xml:space="preserve"> and</w:t>
      </w:r>
      <w:r w:rsidR="00CE658F" w:rsidRPr="007601D4">
        <w:rPr>
          <w:rFonts w:eastAsia="Times New Roman" w:cs="Times New Roman"/>
          <w:szCs w:val="24"/>
        </w:rPr>
        <w:t xml:space="preserve"> </w:t>
      </w:r>
      <w:r w:rsidR="003A048D" w:rsidRPr="007601D4">
        <w:rPr>
          <w:rFonts w:eastAsia="Times New Roman" w:cs="Times New Roman"/>
          <w:szCs w:val="24"/>
        </w:rPr>
        <w:t>further reinforced IISG’s coordination role. Capacity-building efforts and improved methodologies, including revised Terms of Reference</w:t>
      </w:r>
      <w:r w:rsidR="007F320F" w:rsidRPr="007601D4">
        <w:rPr>
          <w:rStyle w:val="FootnoteReference"/>
          <w:rFonts w:eastAsia="Times New Roman" w:cs="Times New Roman"/>
          <w:szCs w:val="24"/>
        </w:rPr>
        <w:footnoteReference w:id="11"/>
      </w:r>
      <w:r w:rsidR="003A048D" w:rsidRPr="007601D4">
        <w:rPr>
          <w:rFonts w:eastAsia="Times New Roman" w:cs="Times New Roman"/>
          <w:szCs w:val="24"/>
        </w:rPr>
        <w:t>, supported the transition towards the SGH, envisaging enhanced analytical capacity</w:t>
      </w:r>
      <w:r w:rsidR="00B7324E" w:rsidRPr="007601D4">
        <w:rPr>
          <w:rFonts w:eastAsia="Times New Roman" w:cs="Times New Roman"/>
          <w:szCs w:val="24"/>
        </w:rPr>
        <w:t xml:space="preserve"> and integrated regional security governance</w:t>
      </w:r>
      <w:r w:rsidR="003A048D" w:rsidRPr="007601D4">
        <w:rPr>
          <w:rFonts w:eastAsia="Times New Roman" w:cs="Times New Roman"/>
          <w:szCs w:val="24"/>
        </w:rPr>
        <w:t>, a stronger RCC coordination role, and closer alignment with EU priorities.</w:t>
      </w:r>
    </w:p>
    <w:p w14:paraId="792C17CE" w14:textId="77777777" w:rsidR="00DA3BE5" w:rsidRPr="007601D4" w:rsidRDefault="00DA3BE5" w:rsidP="0004382C">
      <w:pPr>
        <w:spacing w:line="360" w:lineRule="auto"/>
        <w:contextualSpacing/>
        <w:rPr>
          <w:rFonts w:eastAsia="Times New Roman" w:cs="Times New Roman"/>
          <w:szCs w:val="24"/>
        </w:rPr>
      </w:pPr>
    </w:p>
    <w:p w14:paraId="2DF7CDB0" w14:textId="45427618" w:rsidR="00AC5FEC" w:rsidRPr="007601D4" w:rsidRDefault="00AC5FEC" w:rsidP="0004382C">
      <w:pPr>
        <w:spacing w:line="360" w:lineRule="auto"/>
        <w:rPr>
          <w:rFonts w:eastAsia="Times New Roman" w:cs="Times New Roman"/>
          <w:szCs w:val="24"/>
        </w:rPr>
      </w:pPr>
      <w:r w:rsidRPr="007601D4">
        <w:rPr>
          <w:rFonts w:eastAsia="Times New Roman" w:cs="Times New Roman"/>
          <w:szCs w:val="24"/>
        </w:rPr>
        <w:lastRenderedPageBreak/>
        <w:t>The IISG governance framework continued to demonstrate efficiency through sustained stakeholder engagement and structured coordination</w:t>
      </w:r>
      <w:r w:rsidR="00022409" w:rsidRPr="007601D4">
        <w:rPr>
          <w:rStyle w:val="FootnoteReference"/>
          <w:rFonts w:eastAsia="Times New Roman" w:cs="Times New Roman"/>
          <w:szCs w:val="24"/>
        </w:rPr>
        <w:footnoteReference w:id="12"/>
      </w:r>
      <w:r w:rsidRPr="007601D4">
        <w:rPr>
          <w:rFonts w:eastAsia="Times New Roman" w:cs="Times New Roman"/>
          <w:szCs w:val="24"/>
        </w:rPr>
        <w:t>. Participation remained high across all formats, reflecting strong ownership by WB6 partners and continued support from EU institutions and international organisations.</w:t>
      </w:r>
    </w:p>
    <w:p w14:paraId="1A8E3FDB" w14:textId="743594C4" w:rsidR="00314674" w:rsidRPr="007601D4" w:rsidRDefault="00D95A42" w:rsidP="0004382C">
      <w:pPr>
        <w:spacing w:line="360" w:lineRule="auto"/>
        <w:rPr>
          <w:rFonts w:eastAsia="Times New Roman" w:cs="Times New Roman"/>
          <w:szCs w:val="24"/>
        </w:rPr>
      </w:pPr>
      <w:r w:rsidRPr="007601D4">
        <w:rPr>
          <w:rFonts w:eastAsia="Times New Roman" w:cs="Times New Roman"/>
          <w:szCs w:val="24"/>
        </w:rPr>
        <w:t xml:space="preserve">The IISG Database and the newly launched Cybersecurity Database remained central to IISG’s analytical and coordination functions. The IISG Database grew to 182 users, reflecting increased engagement and improved data quality, while the Cybersecurity Database expanded more rapidly. Both </w:t>
      </w:r>
      <w:r w:rsidR="00FB4CB8" w:rsidRPr="007601D4">
        <w:rPr>
          <w:rFonts w:eastAsia="Times New Roman" w:cs="Times New Roman"/>
          <w:szCs w:val="24"/>
        </w:rPr>
        <w:t>databases</w:t>
      </w:r>
      <w:r w:rsidRPr="007601D4">
        <w:rPr>
          <w:rFonts w:eastAsia="Times New Roman" w:cs="Times New Roman"/>
          <w:szCs w:val="24"/>
        </w:rPr>
        <w:t xml:space="preserve"> were upgraded and security-tested to meet international standards, strengthening their reliability as regional coordination tools</w:t>
      </w:r>
      <w:r w:rsidR="00C82F01" w:rsidRPr="007601D4">
        <w:rPr>
          <w:rFonts w:eastAsia="Times New Roman" w:cs="Times New Roman"/>
          <w:szCs w:val="24"/>
        </w:rPr>
        <w:t>.</w:t>
      </w:r>
    </w:p>
    <w:p w14:paraId="2E0F199C" w14:textId="08D88139" w:rsidR="00C82F01" w:rsidRPr="007601D4" w:rsidRDefault="00C82F01" w:rsidP="0004382C">
      <w:pPr>
        <w:spacing w:line="360" w:lineRule="auto"/>
        <w:rPr>
          <w:rFonts w:eastAsia="Times New Roman" w:cs="Times New Roman"/>
          <w:szCs w:val="24"/>
        </w:rPr>
      </w:pPr>
      <w:r w:rsidRPr="007601D4">
        <w:rPr>
          <w:rFonts w:eastAsia="Times New Roman" w:cs="Times New Roman"/>
          <w:szCs w:val="24"/>
        </w:rPr>
        <w:t xml:space="preserve">A total of 15 analytical outputs identified key gaps and overlaps across all pillars. </w:t>
      </w:r>
      <w:r w:rsidR="004860D5" w:rsidRPr="007601D4">
        <w:rPr>
          <w:rFonts w:eastAsia="Times New Roman" w:cs="Times New Roman"/>
          <w:szCs w:val="24"/>
        </w:rPr>
        <w:t xml:space="preserve">While </w:t>
      </w:r>
      <w:r w:rsidRPr="007601D4">
        <w:rPr>
          <w:rFonts w:eastAsia="Times New Roman" w:cs="Times New Roman"/>
          <w:szCs w:val="24"/>
        </w:rPr>
        <w:t>donor support</w:t>
      </w:r>
      <w:r w:rsidR="004860D5" w:rsidRPr="007601D4">
        <w:rPr>
          <w:rFonts w:eastAsia="Times New Roman" w:cs="Times New Roman"/>
          <w:szCs w:val="24"/>
        </w:rPr>
        <w:t xml:space="preserve"> remains substantial</w:t>
      </w:r>
      <w:r w:rsidRPr="007601D4">
        <w:rPr>
          <w:rFonts w:eastAsia="Times New Roman" w:cs="Times New Roman"/>
          <w:szCs w:val="24"/>
        </w:rPr>
        <w:t xml:space="preserve">, persistent gaps remain in areas such as AML/CFT, intelligence systems, interoperability, digital forensics, and cybersecurity education, informing more targeted </w:t>
      </w:r>
      <w:r w:rsidR="0003056F" w:rsidRPr="007601D4">
        <w:rPr>
          <w:rFonts w:eastAsia="Times New Roman" w:cs="Times New Roman"/>
          <w:szCs w:val="24"/>
        </w:rPr>
        <w:t xml:space="preserve">donor </w:t>
      </w:r>
      <w:r w:rsidR="006B083A" w:rsidRPr="007601D4">
        <w:rPr>
          <w:rFonts w:eastAsia="Times New Roman" w:cs="Times New Roman"/>
          <w:szCs w:val="24"/>
        </w:rPr>
        <w:t>coordination and</w:t>
      </w:r>
      <w:r w:rsidRPr="007601D4">
        <w:rPr>
          <w:rFonts w:eastAsia="Times New Roman" w:cs="Times New Roman"/>
          <w:szCs w:val="24"/>
        </w:rPr>
        <w:t xml:space="preserve"> resource allocation.</w:t>
      </w:r>
    </w:p>
    <w:p w14:paraId="0E4B9BDF" w14:textId="545C4070" w:rsidR="00034DAA" w:rsidRPr="007601D4" w:rsidRDefault="009D02DD" w:rsidP="0004382C">
      <w:pPr>
        <w:spacing w:line="360" w:lineRule="auto"/>
        <w:rPr>
          <w:rFonts w:eastAsia="Times New Roman" w:cs="Times New Roman"/>
          <w:szCs w:val="24"/>
        </w:rPr>
      </w:pPr>
      <w:r w:rsidRPr="007601D4">
        <w:rPr>
          <w:rFonts w:eastAsia="Times New Roman" w:cs="Times New Roman"/>
          <w:szCs w:val="24"/>
        </w:rPr>
        <w:t xml:space="preserve">The second cycle of needs mapping confirmed IISG’s central role in evidence-based planning, identifying over 900 needs across the three pillars and 225 in cybersecurity. Priorities include critical infrastructure protection, legal alignment with EU and FATF standards, law enforcement and investigative capacities, system interoperability, and specialised cybersecurity capabilities. </w:t>
      </w:r>
      <w:r w:rsidR="00034DAA" w:rsidRPr="007601D4">
        <w:rPr>
          <w:rFonts w:eastAsia="Times New Roman" w:cs="Times New Roman"/>
          <w:szCs w:val="24"/>
        </w:rPr>
        <w:t xml:space="preserve">Structured matchmaking processes were </w:t>
      </w:r>
      <w:r w:rsidR="007B21A4" w:rsidRPr="007601D4">
        <w:rPr>
          <w:rFonts w:eastAsia="Times New Roman" w:cs="Times New Roman"/>
          <w:szCs w:val="24"/>
        </w:rPr>
        <w:t>initiated</w:t>
      </w:r>
      <w:r w:rsidR="00034DAA" w:rsidRPr="007601D4">
        <w:rPr>
          <w:rFonts w:eastAsia="Times New Roman" w:cs="Times New Roman"/>
          <w:szCs w:val="24"/>
        </w:rPr>
        <w:t xml:space="preserve"> to better match donor support with identified needs and maximise impact. High-level engagements, including the CyberPulse2025 Conference and donor coordination meetings, further increased visibility and strengthened partnerships. The Cybersecurity Database played a central role by providing a transparent and up-to-date overview of needs and available support.</w:t>
      </w:r>
    </w:p>
    <w:p w14:paraId="465B2677" w14:textId="3AEF32B5" w:rsidR="0041585F" w:rsidRPr="007601D4" w:rsidRDefault="001C1D50" w:rsidP="0004382C">
      <w:pPr>
        <w:pStyle w:val="Heading3"/>
        <w:spacing w:line="360" w:lineRule="auto"/>
        <w:ind w:firstLine="720"/>
      </w:pPr>
      <w:bookmarkStart w:id="34" w:name="_Toc228451787"/>
      <w:r w:rsidRPr="007601D4">
        <w:lastRenderedPageBreak/>
        <w:t xml:space="preserve">A5.3. </w:t>
      </w:r>
      <w:r w:rsidR="00DB32F6" w:rsidRPr="007601D4">
        <w:t xml:space="preserve">Employment and </w:t>
      </w:r>
      <w:r w:rsidR="00C6257C" w:rsidRPr="007601D4">
        <w:t>Social</w:t>
      </w:r>
      <w:r w:rsidR="00DB32F6" w:rsidRPr="007601D4">
        <w:t xml:space="preserve"> Affairs Platform (</w:t>
      </w:r>
      <w:r w:rsidRPr="007601D4">
        <w:t xml:space="preserve">ESAP </w:t>
      </w:r>
      <w:r w:rsidR="009A3DB9">
        <w:t>3</w:t>
      </w:r>
      <w:bookmarkEnd w:id="33"/>
      <w:r w:rsidR="00DB32F6" w:rsidRPr="007601D4">
        <w:t>)</w:t>
      </w:r>
      <w:bookmarkEnd w:id="34"/>
    </w:p>
    <w:p w14:paraId="53B5895F" w14:textId="6924F11A" w:rsidR="00C836A5" w:rsidRPr="007601D4" w:rsidRDefault="00C836A5" w:rsidP="0004382C">
      <w:pPr>
        <w:spacing w:line="360" w:lineRule="auto"/>
      </w:pPr>
      <w:r w:rsidRPr="00870305">
        <w:t>The RCC’s ESAP 3</w:t>
      </w:r>
      <w:r w:rsidRPr="00870305">
        <w:rPr>
          <w:rStyle w:val="FootnoteReference"/>
        </w:rPr>
        <w:footnoteReference w:id="13"/>
      </w:r>
      <w:r w:rsidRPr="00870305">
        <w:t>, continued</w:t>
      </w:r>
      <w:r w:rsidRPr="007601D4">
        <w:t xml:space="preserve"> to support labour market reforms and regional cooperation in the WB6, with a focus on alignment with EU standards, capacity building, and peer learning.</w:t>
      </w:r>
    </w:p>
    <w:p w14:paraId="7663DCB2" w14:textId="159F4293" w:rsidR="00C836A5" w:rsidRPr="007601D4" w:rsidRDefault="00C836A5" w:rsidP="0004382C">
      <w:pPr>
        <w:spacing w:line="360" w:lineRule="auto"/>
      </w:pPr>
      <w:r w:rsidRPr="007601D4">
        <w:t xml:space="preserve">In cooperation with the European Training Foundation (ETF) and with the support of the </w:t>
      </w:r>
      <w:r w:rsidR="00A672B7" w:rsidRPr="007601D4">
        <w:t>EC’s</w:t>
      </w:r>
      <w:r w:rsidRPr="007601D4">
        <w:t xml:space="preserve"> Directorate-General for Employment, Social Affairs and Inclusion (DG EMPL), ESAP 3 organised a two-day capacity-building event on 24-25 June 2025</w:t>
      </w:r>
      <w:r w:rsidR="00115C84" w:rsidRPr="007601D4">
        <w:t xml:space="preserve"> in Turin</w:t>
      </w:r>
      <w:r w:rsidRPr="007601D4">
        <w:t>. The event focused on enhancing labour mobility in the EU enlargement economies through the application of the European Skills, Competences, Qualifications and Occupations (ESCO) framework. It brought together representatives of WB6 institutions (line ministries and public employment services) to strengthen their understanding of ESCO and its role in improving job matching and labour market transparency.</w:t>
      </w:r>
    </w:p>
    <w:p w14:paraId="70169B09" w14:textId="77777777" w:rsidR="00C836A5" w:rsidRPr="007601D4" w:rsidRDefault="00C836A5" w:rsidP="0004382C">
      <w:pPr>
        <w:spacing w:line="360" w:lineRule="auto"/>
      </w:pPr>
      <w:r w:rsidRPr="007601D4">
        <w:t>As a follow-up to the regional event, ESAP 3 delivered targeted technical assistance to Public Employment Service (PES) of Montenegro through a dedicated workshop addressing the operational aspects of ESCO adoption, including institutional coordination and practical implementation challenges.</w:t>
      </w:r>
    </w:p>
    <w:p w14:paraId="680A7815" w14:textId="11F89FAC" w:rsidR="00C836A5" w:rsidRPr="007601D4" w:rsidRDefault="00C836A5" w:rsidP="0004382C">
      <w:pPr>
        <w:spacing w:line="360" w:lineRule="auto"/>
      </w:pPr>
      <w:r w:rsidRPr="007601D4">
        <w:t>To ensure continuity of support, ESAP 3 and ETF jointly organised a follow-up webinar on 2 October 2025, focusing on the practical IT dimensions of ESCO, including job-skills matching functionalities and integration into existing employment services systems.</w:t>
      </w:r>
      <w:r w:rsidR="006F5D12" w:rsidRPr="007601D4">
        <w:t xml:space="preserve"> </w:t>
      </w:r>
      <w:r w:rsidRPr="007601D4">
        <w:t xml:space="preserve">Representatives of the WB6 PES, supported by ESAP 3, participated in the PES Network’s Annual Stakeholder Conference, </w:t>
      </w:r>
      <w:r w:rsidRPr="007601D4">
        <w:rPr>
          <w:i/>
          <w:iCs/>
        </w:rPr>
        <w:t>Partnerships in Shaping and Delivering Employment Services</w:t>
      </w:r>
      <w:r w:rsidRPr="007601D4">
        <w:t>, held on 21 October 2025</w:t>
      </w:r>
      <w:r w:rsidR="002C7DB8" w:rsidRPr="007601D4">
        <w:t xml:space="preserve"> in Brussels</w:t>
      </w:r>
      <w:r w:rsidRPr="007601D4">
        <w:t>. This marked the second consecutive participation of WB6 PES in this key EU forum, facilitating exchange with EU counterparts and strengthening their integration into European PES cooperation frameworks.</w:t>
      </w:r>
    </w:p>
    <w:p w14:paraId="1D53C75E" w14:textId="0A12408F" w:rsidR="00851379" w:rsidRPr="007601D4" w:rsidRDefault="00C836A5" w:rsidP="0004382C">
      <w:pPr>
        <w:spacing w:line="360" w:lineRule="auto"/>
      </w:pPr>
      <w:r w:rsidRPr="007601D4">
        <w:t xml:space="preserve">Throughout 2025, ESAP 3 implemented the fourth cycle of </w:t>
      </w:r>
      <w:r w:rsidRPr="007601D4">
        <w:rPr>
          <w:b/>
          <w:bCs/>
        </w:rPr>
        <w:t>monitoring WB6 performance against the European Pillar of Social Rights (EPSR)</w:t>
      </w:r>
      <w:r w:rsidRPr="007601D4">
        <w:t xml:space="preserve">. The activity resulted in six individual </w:t>
      </w:r>
      <w:r w:rsidRPr="007601D4">
        <w:lastRenderedPageBreak/>
        <w:t xml:space="preserve">reports, and a comprehensive regional comparative overview, providing evidence-based analysis of progress and gaps across key social and employment indicators. Moreover, the </w:t>
      </w:r>
      <w:hyperlink r:id="rId80" w:history="1">
        <w:r w:rsidRPr="007601D4">
          <w:rPr>
            <w:rStyle w:val="Hyperlink"/>
            <w:b/>
            <w:bCs/>
          </w:rPr>
          <w:t>WB6 Social Scoreboard</w:t>
        </w:r>
      </w:hyperlink>
      <w:r w:rsidRPr="007601D4">
        <w:t xml:space="preserve"> was updated to reflect the data collected in this monitoring process. The findings were presented at the Western Balkans Human Capital Days, held </w:t>
      </w:r>
      <w:r w:rsidR="00851379" w:rsidRPr="007601D4">
        <w:t xml:space="preserve">on 28-29 October </w:t>
      </w:r>
      <w:r w:rsidR="000B10E1" w:rsidRPr="007601D4">
        <w:t xml:space="preserve">2025 </w:t>
      </w:r>
      <w:r w:rsidRPr="007601D4">
        <w:t xml:space="preserve">in Tirana and jointly organised by the RCC, UNDP, ESAP 3, and the </w:t>
      </w:r>
      <w:r w:rsidR="00A672B7" w:rsidRPr="007601D4">
        <w:t>EC</w:t>
      </w:r>
      <w:r w:rsidRPr="007601D4">
        <w:t xml:space="preserve">. The event convened policymakers and </w:t>
      </w:r>
      <w:r w:rsidR="000B10E1" w:rsidRPr="007601D4">
        <w:t xml:space="preserve">key </w:t>
      </w:r>
      <w:r w:rsidRPr="007601D4">
        <w:t>stakeholders to discuss human capital development, with the second day dedicated to presenting EPSR performance reviews and fostering policy dialogue on social convergence with the EU.</w:t>
      </w:r>
      <w:r w:rsidR="00A5235F" w:rsidRPr="007601D4">
        <w:t xml:space="preserve"> </w:t>
      </w:r>
      <w:r w:rsidR="00851379" w:rsidRPr="007601D4">
        <w:t>Two parallel breakout sessions enabled active participation and more in-depth exchanges</w:t>
      </w:r>
      <w:r w:rsidR="00A5235F" w:rsidRPr="007601D4">
        <w:t xml:space="preserve"> among participants</w:t>
      </w:r>
      <w:r w:rsidR="00851379" w:rsidRPr="007601D4">
        <w:t xml:space="preserve">. The first session, </w:t>
      </w:r>
      <w:r w:rsidR="00851379" w:rsidRPr="007601D4">
        <w:rPr>
          <w:i/>
          <w:iCs/>
        </w:rPr>
        <w:t>“Tackling Undeclared Work in the Digital Age”</w:t>
      </w:r>
      <w:r w:rsidR="00851379" w:rsidRPr="007601D4">
        <w:t xml:space="preserve">, addressed the challenges of informality in digital labour platforms, focusing on detection, prevention, and formalisation </w:t>
      </w:r>
      <w:r w:rsidR="003D76ED" w:rsidRPr="007601D4">
        <w:t>practices</w:t>
      </w:r>
      <w:r w:rsidR="00851379" w:rsidRPr="007601D4">
        <w:t xml:space="preserve">. It also explored emerging trends and data, including </w:t>
      </w:r>
      <w:r w:rsidR="00A64C99" w:rsidRPr="007601D4">
        <w:t>data</w:t>
      </w:r>
      <w:r w:rsidR="00851379" w:rsidRPr="007601D4">
        <w:t xml:space="preserve"> from thematic research by the </w:t>
      </w:r>
      <w:proofErr w:type="spellStart"/>
      <w:r w:rsidR="00851379" w:rsidRPr="007601D4">
        <w:t>Eurofound</w:t>
      </w:r>
      <w:proofErr w:type="spellEnd"/>
      <w:r w:rsidR="00851379" w:rsidRPr="007601D4">
        <w:t>, presented by its expert.</w:t>
      </w:r>
    </w:p>
    <w:p w14:paraId="458FD1A5" w14:textId="2BE5E2C7" w:rsidR="00C836A5" w:rsidRPr="007601D4" w:rsidRDefault="00C836A5" w:rsidP="0004382C">
      <w:pPr>
        <w:spacing w:line="360" w:lineRule="auto"/>
      </w:pPr>
      <w:r w:rsidRPr="007601D4">
        <w:t xml:space="preserve">The second session, </w:t>
      </w:r>
      <w:r w:rsidRPr="007601D4">
        <w:rPr>
          <w:i/>
          <w:iCs/>
        </w:rPr>
        <w:t>“Strengthening Labour Market Governance and Services in the Western Balkans Six”,</w:t>
      </w:r>
      <w:r w:rsidRPr="007601D4">
        <w:t xml:space="preserve"> explored effective active labour market measures (ALMMs) and ongoing PES reforms. It also highlighted </w:t>
      </w:r>
      <w:r w:rsidR="004C74D1" w:rsidRPr="007601D4">
        <w:t>ETF’s</w:t>
      </w:r>
      <w:r w:rsidRPr="007601D4">
        <w:t xml:space="preserve"> work on </w:t>
      </w:r>
      <w:r w:rsidR="003B2C3E" w:rsidRPr="007601D4">
        <w:t xml:space="preserve">aligning skills development with labour market needs, with particular attention to green jobs. The session further presented practical job–skills matching tools developed by the </w:t>
      </w:r>
      <w:r w:rsidRPr="007601D4">
        <w:t>EU PES Secretariat, alongside experiences with ALMMs for green skills shared by the Employment Service of Slovenia (ESS).</w:t>
      </w:r>
    </w:p>
    <w:p w14:paraId="373C2459" w14:textId="17AA4F1E" w:rsidR="008D7908" w:rsidRPr="007601D4" w:rsidRDefault="008D7908" w:rsidP="0004382C">
      <w:pPr>
        <w:spacing w:line="360" w:lineRule="auto"/>
      </w:pPr>
      <w:r w:rsidRPr="007601D4">
        <w:t xml:space="preserve">To complement the analytical work, ESAP 3 implemented the </w:t>
      </w:r>
      <w:r w:rsidRPr="007601D4">
        <w:rPr>
          <w:i/>
          <w:iCs/>
        </w:rPr>
        <w:t>Imagine if…</w:t>
      </w:r>
      <w:r w:rsidRPr="007601D4">
        <w:t xml:space="preserve"> awareness-raising campaign, featuring video testimonials from citizens across the region. The campaign highlighted key social challenges addressed by the EPSR, including pensions, healthcare, youth employment, inclusion of persons with disabilities, undeclared work, and the cost of living, thereby increasing public awareness and engagement.</w:t>
      </w:r>
    </w:p>
    <w:p w14:paraId="45515089" w14:textId="442133E3" w:rsidR="00C836A5" w:rsidRPr="007601D4" w:rsidRDefault="00C836A5" w:rsidP="0004382C">
      <w:pPr>
        <w:spacing w:line="360" w:lineRule="auto"/>
      </w:pPr>
      <w:r w:rsidRPr="007601D4">
        <w:t xml:space="preserve">ESAP 3 provided technical assistance to the Labour and Employment Agency (LEA) of Bosnia and Herzegovina in organising the regional Labour and Employment Forum Dialogue and Partnerships for the Future, held on 11-12 November 2025 in </w:t>
      </w:r>
      <w:proofErr w:type="spellStart"/>
      <w:r w:rsidRPr="007601D4">
        <w:t>Jahorina</w:t>
      </w:r>
      <w:proofErr w:type="spellEnd"/>
      <w:r w:rsidRPr="007601D4">
        <w:t>. The forum served as a platform for regional exchange on labour market trends, policy responses, and the strengthening of institutional cooperation.</w:t>
      </w:r>
    </w:p>
    <w:p w14:paraId="5B8B7727" w14:textId="7C4FC413" w:rsidR="00C836A5" w:rsidRPr="007601D4" w:rsidRDefault="00C836A5" w:rsidP="0004382C">
      <w:pPr>
        <w:spacing w:line="360" w:lineRule="auto"/>
      </w:pPr>
      <w:r w:rsidRPr="007601D4">
        <w:lastRenderedPageBreak/>
        <w:t xml:space="preserve">Under the Western Balkans Network for </w:t>
      </w:r>
      <w:r w:rsidRPr="007601D4">
        <w:rPr>
          <w:b/>
          <w:bCs/>
        </w:rPr>
        <w:t>Tackling Undeclared Work</w:t>
      </w:r>
      <w:r w:rsidRPr="007601D4">
        <w:t xml:space="preserve">, ESAP 3 launched a new series of Mutual Assistance Projects (MAPs), with initial workshops held on 2 December 2025 </w:t>
      </w:r>
      <w:r w:rsidR="00607316" w:rsidRPr="007601D4">
        <w:t xml:space="preserve">in </w:t>
      </w:r>
      <w:r w:rsidRPr="007601D4">
        <w:t xml:space="preserve">North Macedonia and 8 December 2025 </w:t>
      </w:r>
      <w:r w:rsidR="00607316" w:rsidRPr="007601D4">
        <w:t xml:space="preserve">in </w:t>
      </w:r>
      <w:r w:rsidRPr="007601D4">
        <w:t>Albania. These peer-learning activities provided tailored technical support to labour inspectorates, addressing specific enforcement challenges related to the prevention, detection, and formalisation of undeclared work. The remaining MAPs covering all WB6 are scheduled for implementation in 2026.</w:t>
      </w:r>
    </w:p>
    <w:p w14:paraId="1066F5C7" w14:textId="77777777" w:rsidR="00C836A5" w:rsidRPr="007601D4" w:rsidRDefault="00C836A5" w:rsidP="0004382C">
      <w:pPr>
        <w:spacing w:line="360" w:lineRule="auto"/>
      </w:pPr>
      <w:r w:rsidRPr="007601D4">
        <w:t>In parallel, ESAP 3 contributed to knowledge development through the publication of the discussion paper “</w:t>
      </w:r>
      <w:r w:rsidRPr="007601D4">
        <w:rPr>
          <w:i/>
          <w:iCs/>
        </w:rPr>
        <w:t>Tackling Undeclared Work in the Digital Age: Focus on Platform Work</w:t>
      </w:r>
      <w:r w:rsidRPr="007601D4">
        <w:t>”. The paper analyses emerging challenges linked to the platform economy and provides policy-relevant recommendations for the region.</w:t>
      </w:r>
    </w:p>
    <w:p w14:paraId="58EF8844" w14:textId="77777777" w:rsidR="00C836A5" w:rsidRPr="007601D4" w:rsidRDefault="00C836A5" w:rsidP="0004382C">
      <w:pPr>
        <w:spacing w:line="360" w:lineRule="auto"/>
      </w:pPr>
      <w:r w:rsidRPr="007601D4">
        <w:t>Further engagement in this area included participation in a thematic workshop organised by the European Labour Authority (ELA) on 10-11 February 2026 in Bratislava, focusing on undeclared work and bogus self-employment in the private security sector. The workshop facilitated exchange of practices between EU and WB6 labour inspectorates. On the margins of the event, ESAP 3 held bilateral technical meetings with ELA representatives, focusing on the European Employment Services (EURES) and alignment with the EU acquis on the free movement of workers.</w:t>
      </w:r>
    </w:p>
    <w:p w14:paraId="784B82A6" w14:textId="4DA6C788" w:rsidR="00C836A5" w:rsidRPr="007601D4" w:rsidRDefault="00C836A5" w:rsidP="0004382C">
      <w:pPr>
        <w:spacing w:line="360" w:lineRule="auto"/>
      </w:pPr>
      <w:r w:rsidRPr="007601D4">
        <w:t xml:space="preserve">The </w:t>
      </w:r>
      <w:r w:rsidRPr="007601D4">
        <w:rPr>
          <w:b/>
          <w:bCs/>
        </w:rPr>
        <w:t>ESAP 3 Steering Committee meeting</w:t>
      </w:r>
      <w:r w:rsidRPr="007601D4">
        <w:t xml:space="preserve"> was held on 18 November 2025, bringing together representatives of EU Delegations from the WB6, the </w:t>
      </w:r>
      <w:r w:rsidR="00A672B7" w:rsidRPr="007601D4">
        <w:t>EC’s</w:t>
      </w:r>
      <w:r w:rsidRPr="007601D4">
        <w:t xml:space="preserve"> Directorate-General for Enlargement and Eastern Neighbourhood (DG ENEST), and facilitated by DG EMPL. The meeting provided an opportunity for the RCC and the International Labour Organization (ILO), as implementing partners, to present key achievements from the previous year, as well as planned activities for the upcoming period. The discussion supported strategic alignment, reinforced stakeholder engagement, and ensured continued coordination with EU priorities in the region.</w:t>
      </w:r>
    </w:p>
    <w:p w14:paraId="184E3AB5" w14:textId="68B10236" w:rsidR="00E50073" w:rsidRPr="007601D4" w:rsidRDefault="00E50073" w:rsidP="0004382C">
      <w:pPr>
        <w:spacing w:line="360" w:lineRule="auto"/>
      </w:pPr>
      <w:r w:rsidRPr="007601D4">
        <w:t xml:space="preserve">In the first quarter of 2026, ESAP 3 initiated the </w:t>
      </w:r>
      <w:r w:rsidRPr="007601D4">
        <w:rPr>
          <w:b/>
          <w:bCs/>
        </w:rPr>
        <w:t xml:space="preserve">third cycle of the Public Employment Services (PES) </w:t>
      </w:r>
      <w:proofErr w:type="spellStart"/>
      <w:r w:rsidRPr="007601D4">
        <w:rPr>
          <w:b/>
          <w:bCs/>
        </w:rPr>
        <w:t>Benchlearning</w:t>
      </w:r>
      <w:proofErr w:type="spellEnd"/>
      <w:r w:rsidRPr="007601D4">
        <w:rPr>
          <w:b/>
          <w:bCs/>
        </w:rPr>
        <w:t xml:space="preserve"> exercise in the WB6,</w:t>
      </w:r>
      <w:r w:rsidRPr="007601D4">
        <w:t xml:space="preserve"> modelled on EU practices. This activity represents a key component in supporting the modernisation and performance improvement of public employment services across the region. The 2026 cycle includes preparatory activities, </w:t>
      </w:r>
      <w:r w:rsidRPr="007601D4">
        <w:lastRenderedPageBreak/>
        <w:t>a kick-off event, peer visits, workshops, and the development of both individual and regional reports, with implementation continuing throughout the year.</w:t>
      </w:r>
    </w:p>
    <w:p w14:paraId="0C2EF86A" w14:textId="77777777" w:rsidR="00E50073" w:rsidRPr="007601D4" w:rsidRDefault="00E50073" w:rsidP="0004382C">
      <w:pPr>
        <w:spacing w:line="360" w:lineRule="auto"/>
      </w:pPr>
      <w:r w:rsidRPr="007601D4">
        <w:t>ESAP 3 also strengthened its analytical and data-sharing role through the regular quarterly updates of the ESAP Employment Observatory, providing up-to-date labour market data, analytical findings, and policy-relevant insights for the WB6.</w:t>
      </w:r>
    </w:p>
    <w:p w14:paraId="47C04DFA" w14:textId="77777777" w:rsidR="0019173D" w:rsidRPr="007601D4" w:rsidRDefault="00AF7851" w:rsidP="0004382C">
      <w:pPr>
        <w:pStyle w:val="Heading1"/>
        <w:spacing w:line="360" w:lineRule="auto"/>
        <w:rPr>
          <w:rFonts w:eastAsia="Times New Roman"/>
          <w:lang w:eastAsia="sr-Latn-RS" w:bidi="en-US"/>
        </w:rPr>
      </w:pPr>
      <w:bookmarkStart w:id="35" w:name="_Toc228451788"/>
      <w:r w:rsidRPr="007601D4">
        <w:rPr>
          <w:rFonts w:eastAsia="Times New Roman"/>
          <w:lang w:eastAsia="sr-Latn-RS" w:bidi="en-US"/>
        </w:rPr>
        <w:t xml:space="preserve">B. </w:t>
      </w:r>
      <w:r w:rsidR="00297059" w:rsidRPr="007601D4">
        <w:rPr>
          <w:rFonts w:eastAsia="Times New Roman"/>
          <w:lang w:eastAsia="sr-Latn-RS" w:bidi="en-US"/>
        </w:rPr>
        <w:t>Political Cooperation, Good Governance and Security</w:t>
      </w:r>
      <w:bookmarkEnd w:id="35"/>
    </w:p>
    <w:p w14:paraId="390288F6" w14:textId="77777777" w:rsidR="00B07F9C" w:rsidRPr="007601D4" w:rsidRDefault="00AF7851" w:rsidP="0004382C">
      <w:pPr>
        <w:pStyle w:val="Heading2"/>
        <w:spacing w:line="360" w:lineRule="auto"/>
      </w:pPr>
      <w:bookmarkStart w:id="36" w:name="_Toc228451789"/>
      <w:r w:rsidRPr="007601D4">
        <w:t xml:space="preserve">B1. </w:t>
      </w:r>
      <w:r w:rsidR="00297059" w:rsidRPr="007601D4">
        <w:t>Political Cooperation</w:t>
      </w:r>
      <w:bookmarkEnd w:id="36"/>
    </w:p>
    <w:p w14:paraId="219F59D7" w14:textId="22D2DF55" w:rsidR="00D70DB7" w:rsidRPr="007601D4" w:rsidRDefault="00D70DB7" w:rsidP="00D13F1A">
      <w:pPr>
        <w:spacing w:line="360" w:lineRule="auto"/>
        <w:rPr>
          <w:rFonts w:eastAsia="Calibri" w:cs="Times New Roman"/>
          <w:szCs w:val="24"/>
        </w:rPr>
      </w:pPr>
      <w:r w:rsidRPr="0037313A">
        <w:rPr>
          <w:rFonts w:eastAsia="Calibri" w:cs="Times New Roman"/>
          <w:szCs w:val="24"/>
        </w:rPr>
        <w:t>Within the political</w:t>
      </w:r>
      <w:r w:rsidRPr="007601D4">
        <w:rPr>
          <w:rFonts w:eastAsia="Calibri" w:cs="Times New Roman"/>
          <w:szCs w:val="24"/>
        </w:rPr>
        <w:t xml:space="preserve"> scope of work, the RCC concentrated on its statutory duties. During the reporting period, RCC’s efforts in fostering political cooperation in </w:t>
      </w:r>
      <w:proofErr w:type="gramStart"/>
      <w:r w:rsidRPr="007601D4">
        <w:rPr>
          <w:rFonts w:eastAsia="Calibri" w:cs="Times New Roman"/>
          <w:szCs w:val="24"/>
        </w:rPr>
        <w:t>South East</w:t>
      </w:r>
      <w:proofErr w:type="gramEnd"/>
      <w:r w:rsidRPr="007601D4">
        <w:rPr>
          <w:rFonts w:eastAsia="Calibri" w:cs="Times New Roman"/>
          <w:szCs w:val="24"/>
        </w:rPr>
        <w:t xml:space="preserve"> Europe continued to demonstrate steady progress and sustained high-level engagement, particularly in bolstering regional dialogue, stability, and strategic initiatives geared toward</w:t>
      </w:r>
      <w:r w:rsidR="00920F70">
        <w:rPr>
          <w:rFonts w:eastAsia="Calibri" w:cs="Times New Roman"/>
          <w:szCs w:val="24"/>
        </w:rPr>
        <w:t>s</w:t>
      </w:r>
      <w:r w:rsidRPr="007601D4">
        <w:rPr>
          <w:rFonts w:eastAsia="Calibri" w:cs="Times New Roman"/>
          <w:szCs w:val="24"/>
        </w:rPr>
        <w:t xml:space="preserve"> European integration and sustainable development.</w:t>
      </w:r>
    </w:p>
    <w:p w14:paraId="79464526" w14:textId="0554CB70" w:rsidR="00D70DB7" w:rsidRPr="007601D4" w:rsidRDefault="00D70DB7" w:rsidP="00D13F1A">
      <w:pPr>
        <w:spacing w:line="360" w:lineRule="auto"/>
        <w:rPr>
          <w:szCs w:val="24"/>
        </w:rPr>
      </w:pPr>
      <w:r w:rsidRPr="007601D4">
        <w:rPr>
          <w:szCs w:val="24"/>
        </w:rPr>
        <w:t>During the reporting period, the RCC made strong progress in political cooperation by effectively supporting the Tirana Chairmanship-in-Office (C-</w:t>
      </w:r>
      <w:proofErr w:type="spellStart"/>
      <w:r w:rsidRPr="007601D4">
        <w:rPr>
          <w:szCs w:val="24"/>
        </w:rPr>
        <w:t>i</w:t>
      </w:r>
      <w:proofErr w:type="spellEnd"/>
      <w:r w:rsidRPr="007601D4">
        <w:rPr>
          <w:szCs w:val="24"/>
        </w:rPr>
        <w:t xml:space="preserve">-O) of the SEECP 2024-2025. A key milestone was the 5th Political Directors Meeting in Tirana on 10-11 June 2025, which </w:t>
      </w:r>
      <w:r w:rsidRPr="007601D4">
        <w:rPr>
          <w:b/>
          <w:bCs/>
          <w:szCs w:val="24"/>
        </w:rPr>
        <w:t xml:space="preserve">endorsed the </w:t>
      </w:r>
      <w:hyperlink r:id="rId81" w:history="1">
        <w:r w:rsidRPr="007601D4">
          <w:rPr>
            <w:rStyle w:val="Hyperlink"/>
            <w:b/>
            <w:bCs/>
            <w:szCs w:val="24"/>
          </w:rPr>
          <w:t>RCC Strategy and Work Programme</w:t>
        </w:r>
        <w:r w:rsidR="003F185A" w:rsidRPr="007601D4">
          <w:rPr>
            <w:rStyle w:val="Hyperlink"/>
            <w:b/>
            <w:bCs/>
            <w:szCs w:val="24"/>
          </w:rPr>
          <w:t xml:space="preserve"> (SWP)</w:t>
        </w:r>
        <w:r w:rsidRPr="007601D4">
          <w:rPr>
            <w:rStyle w:val="Hyperlink"/>
            <w:b/>
            <w:bCs/>
            <w:szCs w:val="24"/>
          </w:rPr>
          <w:t xml:space="preserve"> 2026-2028</w:t>
        </w:r>
      </w:hyperlink>
      <w:r w:rsidRPr="007601D4">
        <w:rPr>
          <w:szCs w:val="24"/>
        </w:rPr>
        <w:t xml:space="preserve"> and the </w:t>
      </w:r>
      <w:hyperlink r:id="rId82" w:history="1">
        <w:r w:rsidRPr="007601D4">
          <w:rPr>
            <w:rStyle w:val="Hyperlink"/>
            <w:b/>
            <w:bCs/>
            <w:szCs w:val="24"/>
          </w:rPr>
          <w:t>Annual Report 2024-2025</w:t>
        </w:r>
      </w:hyperlink>
      <w:r w:rsidRPr="007601D4">
        <w:rPr>
          <w:szCs w:val="24"/>
        </w:rPr>
        <w:t>, while also recogni</w:t>
      </w:r>
      <w:r w:rsidR="007601D4">
        <w:rPr>
          <w:szCs w:val="24"/>
        </w:rPr>
        <w:t>s</w:t>
      </w:r>
      <w:r w:rsidRPr="007601D4">
        <w:rPr>
          <w:szCs w:val="24"/>
        </w:rPr>
        <w:t xml:space="preserve">ing the RCC’s central role in preparing and implementing the CRM AP 2025-2028, the GAWB, and SEE2030. </w:t>
      </w:r>
      <w:r w:rsidRPr="007601D4">
        <w:rPr>
          <w:b/>
          <w:bCs/>
          <w:szCs w:val="24"/>
        </w:rPr>
        <w:t>The RCC Annual Meeting</w:t>
      </w:r>
      <w:r w:rsidRPr="007601D4">
        <w:rPr>
          <w:szCs w:val="24"/>
        </w:rPr>
        <w:t>, held back-to-back with the SEECP Ministerial Meeting and Summit on 16 June 2025 in Tirana, further confirmed the organi</w:t>
      </w:r>
      <w:r w:rsidR="007601D4" w:rsidRPr="007601D4">
        <w:rPr>
          <w:szCs w:val="24"/>
        </w:rPr>
        <w:t>s</w:t>
      </w:r>
      <w:r w:rsidRPr="007601D4">
        <w:rPr>
          <w:szCs w:val="24"/>
        </w:rPr>
        <w:t>ation’s role as a trusted regional convener and formally endorsed both documents. These developments also supported the transition of the SEECP C-</w:t>
      </w:r>
      <w:proofErr w:type="spellStart"/>
      <w:r w:rsidRPr="007601D4">
        <w:rPr>
          <w:szCs w:val="24"/>
        </w:rPr>
        <w:t>i</w:t>
      </w:r>
      <w:proofErr w:type="spellEnd"/>
      <w:r w:rsidRPr="007601D4">
        <w:rPr>
          <w:szCs w:val="24"/>
        </w:rPr>
        <w:t>-O to Sofia and helped sustain continuity, momentum, and high-level engagement in regional cooperation and EU integration efforts.</w:t>
      </w:r>
    </w:p>
    <w:p w14:paraId="17D7BDEA" w14:textId="133EF076" w:rsidR="00D70DB7" w:rsidRPr="007601D4" w:rsidRDefault="00D70DB7" w:rsidP="00D13F1A">
      <w:pPr>
        <w:spacing w:line="360" w:lineRule="auto"/>
        <w:rPr>
          <w:szCs w:val="24"/>
        </w:rPr>
      </w:pPr>
      <w:r w:rsidRPr="007601D4">
        <w:rPr>
          <w:szCs w:val="24"/>
        </w:rPr>
        <w:t xml:space="preserve">Under the theme </w:t>
      </w:r>
      <w:r w:rsidRPr="007601D4">
        <w:rPr>
          <w:i/>
          <w:iCs/>
          <w:szCs w:val="24"/>
        </w:rPr>
        <w:t>Boosting Regional Competitiveness and Inclusive Growth as Pathways to EU Integration</w:t>
      </w:r>
      <w:r w:rsidRPr="007601D4">
        <w:rPr>
          <w:szCs w:val="24"/>
        </w:rPr>
        <w:t xml:space="preserve">, the </w:t>
      </w:r>
      <w:r w:rsidRPr="007601D4">
        <w:rPr>
          <w:b/>
          <w:bCs/>
          <w:szCs w:val="24"/>
        </w:rPr>
        <w:t>SEECP Ministerial Meeting and Summit</w:t>
      </w:r>
      <w:r w:rsidRPr="007601D4">
        <w:rPr>
          <w:szCs w:val="24"/>
        </w:rPr>
        <w:t xml:space="preserve"> on 16 June 2025 encapsulated the RCC’s message that regional cooperation serves both as a proving ground and essential preparation for EU integration. In the margins of the Summit, the RCC Secretary General engaged with the President of Slovenia, Nataša Pirc Musar, exemplifying high-level regional support for the RCC’s convening role and the broader SEECP framework.</w:t>
      </w:r>
    </w:p>
    <w:p w14:paraId="4A9D7E44" w14:textId="19D73C54" w:rsidR="00D70DB7" w:rsidRPr="007601D4" w:rsidRDefault="00D70DB7" w:rsidP="00D13F1A">
      <w:pPr>
        <w:spacing w:line="360" w:lineRule="auto"/>
        <w:rPr>
          <w:szCs w:val="24"/>
        </w:rPr>
      </w:pPr>
      <w:r w:rsidRPr="007601D4">
        <w:rPr>
          <w:szCs w:val="24"/>
        </w:rPr>
        <w:lastRenderedPageBreak/>
        <w:t>The transition of the SEECP Chairmanship-in-Office from Tirana to Sofia was duly formali</w:t>
      </w:r>
      <w:r w:rsidR="007601D4">
        <w:rPr>
          <w:szCs w:val="24"/>
        </w:rPr>
        <w:t>s</w:t>
      </w:r>
      <w:r w:rsidRPr="007601D4">
        <w:rPr>
          <w:szCs w:val="24"/>
        </w:rPr>
        <w:t xml:space="preserve">ed on 1 July, signifying a pivotal juncture in the regional cooperation calendar. As the operational arm of the SEECP, steadfastly dedicated to supporting and implementing its political and strategic priorities, the RCC Secretary General, on the margins of the SEECP high-level meetings in Tirana, conducted meetings with the </w:t>
      </w:r>
      <w:r w:rsidR="00817254" w:rsidRPr="007601D4">
        <w:rPr>
          <w:szCs w:val="24"/>
        </w:rPr>
        <w:t xml:space="preserve">then </w:t>
      </w:r>
      <w:r w:rsidRPr="007601D4">
        <w:rPr>
          <w:szCs w:val="24"/>
        </w:rPr>
        <w:t>President of Bulgaria, Rumen Radev, and the Speaker of the Bulgarian Parliament, Natalya Kiselyova - engagements that underscored the close collaboration with Sofia as the incoming Chairmanship-in-Office. These interactions vividly highlighted the RCC’s pivotal function in operationali</w:t>
      </w:r>
      <w:r w:rsidR="007601D4">
        <w:rPr>
          <w:szCs w:val="24"/>
        </w:rPr>
        <w:t>s</w:t>
      </w:r>
      <w:r w:rsidRPr="007601D4">
        <w:rPr>
          <w:szCs w:val="24"/>
        </w:rPr>
        <w:t>ing the SEECP’s agenda and safeguarding continuity and momentum in regional cooperation.</w:t>
      </w:r>
    </w:p>
    <w:p w14:paraId="1701E2C1" w14:textId="71321025" w:rsidR="00D70DB7" w:rsidRPr="007601D4" w:rsidRDefault="00D70DB7" w:rsidP="00D13F1A">
      <w:pPr>
        <w:spacing w:line="360" w:lineRule="auto"/>
        <w:rPr>
          <w:szCs w:val="24"/>
        </w:rPr>
      </w:pPr>
      <w:r w:rsidRPr="007601D4">
        <w:rPr>
          <w:szCs w:val="24"/>
        </w:rPr>
        <w:t>Complementing these proceedings, the 12th SEECP Parliamentary Assembly Plenary Session on 10 June emphasi</w:t>
      </w:r>
      <w:r w:rsidR="007601D4">
        <w:rPr>
          <w:szCs w:val="24"/>
        </w:rPr>
        <w:t>s</w:t>
      </w:r>
      <w:r w:rsidRPr="007601D4">
        <w:rPr>
          <w:szCs w:val="24"/>
        </w:rPr>
        <w:t>ed parliamentary cooperation as a crucial catalyst for enhancing regional connectivity, with a strategic focus on multimodal infrastructure and institutional coherence serving as pillars of economic opportunity and resilience. The RCC presented a Flash Report on Trade and Transport Connectivity, which underscored the region’s economic potential, delineated key challenges, and proffered recommendations to deepen regional market integration and infrastructure investment.</w:t>
      </w:r>
    </w:p>
    <w:p w14:paraId="3E64B6BE" w14:textId="28A24D09" w:rsidR="00D70DB7" w:rsidRPr="007601D4" w:rsidRDefault="00D70DB7" w:rsidP="00D13F1A">
      <w:pPr>
        <w:spacing w:line="360" w:lineRule="auto"/>
        <w:rPr>
          <w:rFonts w:eastAsia="Calibri" w:cs="Times New Roman"/>
          <w:szCs w:val="24"/>
        </w:rPr>
      </w:pPr>
      <w:r w:rsidRPr="007601D4">
        <w:rPr>
          <w:rFonts w:eastAsia="Calibri" w:cs="Times New Roman"/>
          <w:szCs w:val="24"/>
        </w:rPr>
        <w:t xml:space="preserve">RCC Secretary General Amer Kapetanović actively participated in key regional forums, including the </w:t>
      </w:r>
      <w:r w:rsidRPr="007601D4">
        <w:rPr>
          <w:rFonts w:eastAsia="Calibri" w:cs="Times New Roman"/>
          <w:b/>
          <w:szCs w:val="24"/>
        </w:rPr>
        <w:t xml:space="preserve">Dubrovnik and Bled Strategic Forums </w:t>
      </w:r>
      <w:r w:rsidRPr="007601D4">
        <w:rPr>
          <w:rFonts w:eastAsia="Calibri" w:cs="Times New Roman"/>
          <w:szCs w:val="24"/>
        </w:rPr>
        <w:t xml:space="preserve">on 12 </w:t>
      </w:r>
      <w:r w:rsidRPr="007601D4">
        <w:rPr>
          <w:bCs/>
        </w:rPr>
        <w:t>July and 1 September</w:t>
      </w:r>
      <w:r w:rsidRPr="007601D4">
        <w:rPr>
          <w:rFonts w:eastAsia="Calibri" w:cs="Times New Roman"/>
          <w:szCs w:val="24"/>
        </w:rPr>
        <w:t>, where he emphasi</w:t>
      </w:r>
      <w:r w:rsidR="007601D4">
        <w:rPr>
          <w:rFonts w:eastAsia="Calibri" w:cs="Times New Roman"/>
          <w:szCs w:val="24"/>
        </w:rPr>
        <w:t>s</w:t>
      </w:r>
      <w:r w:rsidRPr="007601D4">
        <w:rPr>
          <w:rFonts w:eastAsia="Calibri" w:cs="Times New Roman"/>
          <w:szCs w:val="24"/>
        </w:rPr>
        <w:t xml:space="preserve">ed the importance of sustaining peace, advancing EU integration, and fostering regional cooperation on priorities such as the </w:t>
      </w:r>
      <w:r w:rsidR="000D024C" w:rsidRPr="007601D4">
        <w:rPr>
          <w:rFonts w:eastAsia="Calibri" w:cs="Times New Roman"/>
          <w:szCs w:val="24"/>
        </w:rPr>
        <w:t>CRM</w:t>
      </w:r>
      <w:r w:rsidRPr="007601D4">
        <w:rPr>
          <w:rFonts w:eastAsia="Calibri" w:cs="Times New Roman"/>
          <w:szCs w:val="24"/>
        </w:rPr>
        <w:t xml:space="preserve"> and the Green Agenda for the Western Balkans. These engagements provided valuable platforms to strengthen partnerships with government officials, business leaders, and international organisations.</w:t>
      </w:r>
    </w:p>
    <w:p w14:paraId="38C36C71" w14:textId="77777777" w:rsidR="00D70DB7" w:rsidRPr="007601D4" w:rsidRDefault="00D70DB7" w:rsidP="00D13F1A">
      <w:pPr>
        <w:spacing w:line="360" w:lineRule="auto"/>
        <w:rPr>
          <w:rFonts w:eastAsia="Calibri" w:cs="Times New Roman"/>
          <w:szCs w:val="24"/>
        </w:rPr>
      </w:pPr>
      <w:r w:rsidRPr="007601D4">
        <w:rPr>
          <w:rFonts w:eastAsia="Calibri" w:cs="Times New Roman"/>
          <w:szCs w:val="24"/>
        </w:rPr>
        <w:t xml:space="preserve">In parallel, high-level visits and meetings marked the period, including </w:t>
      </w:r>
      <w:r w:rsidRPr="007601D4">
        <w:rPr>
          <w:rFonts w:eastAsia="Calibri" w:cs="Times New Roman"/>
          <w:b/>
          <w:szCs w:val="24"/>
        </w:rPr>
        <w:t>Minister for Europe and Foreign Affairs of Albania, Igli Hasani’s visit to the RCC headquarters</w:t>
      </w:r>
      <w:r w:rsidRPr="007601D4">
        <w:rPr>
          <w:rFonts w:eastAsia="Calibri" w:cs="Times New Roman"/>
          <w:szCs w:val="24"/>
        </w:rPr>
        <w:t xml:space="preserve"> on </w:t>
      </w:r>
      <w:r w:rsidRPr="007601D4">
        <w:rPr>
          <w:bCs/>
        </w:rPr>
        <w:t>10 July</w:t>
      </w:r>
      <w:r w:rsidRPr="007601D4">
        <w:rPr>
          <w:rFonts w:eastAsia="Calibri" w:cs="Times New Roman"/>
          <w:szCs w:val="24"/>
        </w:rPr>
        <w:t xml:space="preserve">, reinforcing Albania’s commitment to regional collaboration and EU accession perspectives. Additionally, the Secretary General held constructive </w:t>
      </w:r>
      <w:r w:rsidRPr="007601D4">
        <w:rPr>
          <w:rFonts w:eastAsia="Calibri" w:cs="Times New Roman"/>
          <w:b/>
          <w:szCs w:val="24"/>
        </w:rPr>
        <w:t>talks with the Chairwoman of the Council of Ministers of Bosnia and Herzegovina, Borjana Kristo</w:t>
      </w:r>
      <w:r w:rsidRPr="007601D4">
        <w:rPr>
          <w:rFonts w:eastAsia="Calibri" w:cs="Times New Roman"/>
          <w:szCs w:val="24"/>
        </w:rPr>
        <w:t xml:space="preserve"> focusing on deepening political cooperation and reinforcing RCC’s support for regional stability and development.</w:t>
      </w:r>
    </w:p>
    <w:p w14:paraId="4D43EBD8" w14:textId="1CC5D5C9" w:rsidR="00D70DB7" w:rsidRPr="007601D4" w:rsidRDefault="00D70DB7" w:rsidP="00D13F1A">
      <w:pPr>
        <w:spacing w:line="360" w:lineRule="auto"/>
        <w:rPr>
          <w:rFonts w:eastAsia="Calibri" w:cs="Times New Roman"/>
          <w:szCs w:val="24"/>
        </w:rPr>
      </w:pPr>
      <w:r w:rsidRPr="007601D4">
        <w:rPr>
          <w:rFonts w:eastAsia="Calibri" w:cs="Times New Roman"/>
          <w:szCs w:val="24"/>
        </w:rPr>
        <w:t xml:space="preserve">Earlier in the reporting period, the </w:t>
      </w:r>
      <w:r w:rsidRPr="007601D4">
        <w:rPr>
          <w:rFonts w:eastAsia="Calibri" w:cs="Times New Roman"/>
          <w:b/>
          <w:szCs w:val="24"/>
        </w:rPr>
        <w:t>first meeting of the SEECP Political Directors under the Sofia Chairmanship</w:t>
      </w:r>
      <w:r w:rsidR="0079447C">
        <w:rPr>
          <w:rFonts w:eastAsia="Calibri" w:cs="Times New Roman"/>
          <w:b/>
          <w:szCs w:val="24"/>
        </w:rPr>
        <w:t>-</w:t>
      </w:r>
      <w:r w:rsidRPr="007601D4">
        <w:rPr>
          <w:rFonts w:eastAsia="Calibri" w:cs="Times New Roman"/>
          <w:b/>
          <w:szCs w:val="24"/>
        </w:rPr>
        <w:t>in</w:t>
      </w:r>
      <w:r w:rsidR="0079447C">
        <w:rPr>
          <w:rFonts w:eastAsia="Calibri" w:cs="Times New Roman"/>
          <w:b/>
          <w:szCs w:val="24"/>
        </w:rPr>
        <w:t>-</w:t>
      </w:r>
      <w:r w:rsidRPr="007601D4">
        <w:rPr>
          <w:rFonts w:eastAsia="Calibri" w:cs="Times New Roman"/>
          <w:b/>
          <w:szCs w:val="24"/>
        </w:rPr>
        <w:t>Office (</w:t>
      </w:r>
      <w:proofErr w:type="spellStart"/>
      <w:r w:rsidRPr="007601D4">
        <w:rPr>
          <w:rFonts w:eastAsia="Calibri" w:cs="Times New Roman"/>
          <w:b/>
          <w:szCs w:val="24"/>
        </w:rPr>
        <w:t>CiO</w:t>
      </w:r>
      <w:proofErr w:type="spellEnd"/>
      <w:r w:rsidRPr="007601D4">
        <w:rPr>
          <w:rFonts w:eastAsia="Calibri" w:cs="Times New Roman"/>
          <w:b/>
          <w:szCs w:val="24"/>
        </w:rPr>
        <w:t xml:space="preserve">) </w:t>
      </w:r>
      <w:r w:rsidRPr="007601D4">
        <w:rPr>
          <w:rFonts w:eastAsia="Calibri" w:cs="Times New Roman"/>
          <w:szCs w:val="24"/>
        </w:rPr>
        <w:t xml:space="preserve">was held on 17 July in Sofia. The meeting outlined the </w:t>
      </w:r>
      <w:r w:rsidRPr="007601D4">
        <w:rPr>
          <w:rFonts w:eastAsia="Calibri" w:cs="Times New Roman"/>
          <w:szCs w:val="24"/>
        </w:rPr>
        <w:lastRenderedPageBreak/>
        <w:t>Sofia Chairmanship’s priorities, emphasi</w:t>
      </w:r>
      <w:r w:rsidR="007601D4">
        <w:rPr>
          <w:rFonts w:eastAsia="Calibri" w:cs="Times New Roman"/>
          <w:szCs w:val="24"/>
        </w:rPr>
        <w:t>s</w:t>
      </w:r>
      <w:r w:rsidRPr="007601D4">
        <w:rPr>
          <w:rFonts w:eastAsia="Calibri" w:cs="Times New Roman"/>
          <w:szCs w:val="24"/>
        </w:rPr>
        <w:t>ing inclusive regional cooperation, European integration, connectivity, innovation, and security, thereby guiding the regional agenda towards stability, resilience, and sustainable growth.</w:t>
      </w:r>
      <w:r w:rsidR="00F47A4B" w:rsidRPr="007601D4">
        <w:rPr>
          <w:rFonts w:eastAsia="Calibri" w:cs="Times New Roman"/>
          <w:szCs w:val="24"/>
        </w:rPr>
        <w:t xml:space="preserve"> </w:t>
      </w:r>
      <w:r w:rsidRPr="007601D4">
        <w:rPr>
          <w:rFonts w:eastAsia="Calibri" w:cs="Times New Roman"/>
          <w:szCs w:val="24"/>
        </w:rPr>
        <w:t xml:space="preserve">This commitment was further reflected in Kapetanović’s official visit to Sofia on 15 September, where consultations with the Ministry of Foreign Affairs reaffirmed the close cooperation between the RCC and the SEECP </w:t>
      </w:r>
      <w:proofErr w:type="spellStart"/>
      <w:r w:rsidRPr="007601D4">
        <w:rPr>
          <w:rFonts w:eastAsia="Calibri" w:cs="Times New Roman"/>
          <w:szCs w:val="24"/>
        </w:rPr>
        <w:t>CiO</w:t>
      </w:r>
      <w:proofErr w:type="spellEnd"/>
      <w:r w:rsidRPr="007601D4">
        <w:rPr>
          <w:rFonts w:eastAsia="Calibri" w:cs="Times New Roman"/>
          <w:szCs w:val="24"/>
        </w:rPr>
        <w:t xml:space="preserve">. Discussions focused on preparations for the </w:t>
      </w:r>
      <w:r w:rsidRPr="007601D4">
        <w:rPr>
          <w:rFonts w:eastAsia="Calibri" w:cs="Times New Roman"/>
          <w:b/>
          <w:szCs w:val="24"/>
        </w:rPr>
        <w:t>30</w:t>
      </w:r>
      <w:r w:rsidRPr="007601D4">
        <w:rPr>
          <w:rFonts w:eastAsia="Calibri" w:cs="Times New Roman"/>
          <w:b/>
          <w:szCs w:val="24"/>
          <w:vertAlign w:val="superscript"/>
        </w:rPr>
        <w:t>th</w:t>
      </w:r>
      <w:r w:rsidRPr="007601D4">
        <w:rPr>
          <w:rFonts w:eastAsia="Calibri" w:cs="Times New Roman"/>
          <w:b/>
          <w:szCs w:val="24"/>
        </w:rPr>
        <w:t xml:space="preserve"> SEECP anniversary in 2026</w:t>
      </w:r>
      <w:r w:rsidRPr="007601D4">
        <w:rPr>
          <w:rFonts w:eastAsia="Calibri" w:cs="Times New Roman"/>
          <w:szCs w:val="24"/>
        </w:rPr>
        <w:t>, including the opportunity to reflect on past achievements and set forward-looking goals for the region’s future.</w:t>
      </w:r>
    </w:p>
    <w:p w14:paraId="41BB9BF4" w14:textId="695A93AC" w:rsidR="00D70DB7" w:rsidRPr="007601D4" w:rsidRDefault="00D70DB7" w:rsidP="00D13F1A">
      <w:pPr>
        <w:spacing w:line="360" w:lineRule="auto"/>
        <w:rPr>
          <w:rFonts w:eastAsia="Calibri" w:cs="Times New Roman"/>
          <w:szCs w:val="24"/>
        </w:rPr>
      </w:pPr>
      <w:r w:rsidRPr="007601D4">
        <w:rPr>
          <w:rFonts w:eastAsia="Calibri" w:cs="Times New Roman"/>
          <w:szCs w:val="24"/>
        </w:rPr>
        <w:t>On the margins of the 80</w:t>
      </w:r>
      <w:r w:rsidRPr="007601D4">
        <w:rPr>
          <w:rFonts w:eastAsia="Calibri" w:cs="Times New Roman"/>
          <w:szCs w:val="24"/>
          <w:vertAlign w:val="superscript"/>
        </w:rPr>
        <w:t>th</w:t>
      </w:r>
      <w:r w:rsidRPr="007601D4">
        <w:rPr>
          <w:rFonts w:eastAsia="Calibri" w:cs="Times New Roman"/>
          <w:szCs w:val="24"/>
        </w:rPr>
        <w:t xml:space="preserve"> Session of the United Nations General Assembly (UNGA), RCC and the SEECP C</w:t>
      </w:r>
      <w:r w:rsidR="00C016C2" w:rsidRPr="007601D4">
        <w:rPr>
          <w:rFonts w:eastAsia="Calibri" w:cs="Times New Roman"/>
          <w:szCs w:val="24"/>
        </w:rPr>
        <w:t>-</w:t>
      </w:r>
      <w:proofErr w:type="spellStart"/>
      <w:r w:rsidRPr="007601D4">
        <w:rPr>
          <w:rFonts w:eastAsia="Calibri" w:cs="Times New Roman"/>
          <w:szCs w:val="24"/>
        </w:rPr>
        <w:t>i</w:t>
      </w:r>
      <w:proofErr w:type="spellEnd"/>
      <w:r w:rsidR="00C016C2" w:rsidRPr="007601D4">
        <w:rPr>
          <w:rFonts w:eastAsia="Calibri" w:cs="Times New Roman"/>
          <w:szCs w:val="24"/>
        </w:rPr>
        <w:t>-</w:t>
      </w:r>
      <w:r w:rsidRPr="007601D4">
        <w:rPr>
          <w:rFonts w:eastAsia="Calibri" w:cs="Times New Roman"/>
          <w:szCs w:val="24"/>
        </w:rPr>
        <w:t xml:space="preserve">O co-organised the </w:t>
      </w:r>
      <w:r w:rsidRPr="007601D4">
        <w:rPr>
          <w:rFonts w:eastAsia="Calibri" w:cs="Times New Roman"/>
          <w:b/>
          <w:szCs w:val="24"/>
        </w:rPr>
        <w:t xml:space="preserve">regular informal working lunch for SEECP Foreign Ministers </w:t>
      </w:r>
      <w:r w:rsidRPr="007601D4">
        <w:rPr>
          <w:rFonts w:eastAsia="Calibri" w:cs="Times New Roman"/>
          <w:szCs w:val="24"/>
        </w:rPr>
        <w:t>on 24 September</w:t>
      </w:r>
      <w:r w:rsidR="004126E0" w:rsidRPr="007601D4">
        <w:rPr>
          <w:rFonts w:eastAsia="Calibri" w:cs="Times New Roman"/>
          <w:szCs w:val="24"/>
        </w:rPr>
        <w:t xml:space="preserve"> 2025</w:t>
      </w:r>
      <w:r w:rsidRPr="007601D4">
        <w:rPr>
          <w:rFonts w:eastAsia="Calibri" w:cs="Times New Roman"/>
          <w:szCs w:val="24"/>
        </w:rPr>
        <w:t xml:space="preserve"> in New York. The event marked the upcoming SEECP anniversary, renewed participant commitment to dialogue, solidarity, and regional ownership under the theme </w:t>
      </w:r>
      <w:r w:rsidRPr="007601D4">
        <w:rPr>
          <w:rFonts w:eastAsia="Calibri" w:cs="Times New Roman"/>
          <w:i/>
          <w:szCs w:val="24"/>
        </w:rPr>
        <w:t>30 Years of SEECP: Navigating the Future through Regional Stability, Security and Sustainable Transformation</w:t>
      </w:r>
      <w:r w:rsidRPr="007601D4">
        <w:rPr>
          <w:rFonts w:eastAsia="Calibri" w:cs="Times New Roman"/>
          <w:szCs w:val="24"/>
        </w:rPr>
        <w:t>.</w:t>
      </w:r>
    </w:p>
    <w:p w14:paraId="555ABB5A" w14:textId="4BDB6C71" w:rsidR="00D70DB7" w:rsidRPr="007601D4" w:rsidRDefault="00D70DB7" w:rsidP="00D13F1A">
      <w:pPr>
        <w:spacing w:line="360" w:lineRule="auto"/>
        <w:rPr>
          <w:rFonts w:eastAsia="Calibri" w:cs="Times New Roman"/>
          <w:szCs w:val="24"/>
        </w:rPr>
      </w:pPr>
      <w:r w:rsidRPr="007601D4">
        <w:rPr>
          <w:rFonts w:eastAsia="Calibri" w:cs="Times New Roman"/>
          <w:szCs w:val="24"/>
        </w:rPr>
        <w:t xml:space="preserve">During the same week, the Secretary General also participated in the </w:t>
      </w:r>
      <w:r w:rsidRPr="007601D4">
        <w:rPr>
          <w:rFonts w:eastAsia="Calibri" w:cs="Times New Roman"/>
          <w:b/>
          <w:szCs w:val="24"/>
        </w:rPr>
        <w:t>Adriatic-Ionian Initiative (AII) Foreign Ministers’ Informal Working Breakfast in New York</w:t>
      </w:r>
      <w:r w:rsidRPr="007601D4">
        <w:rPr>
          <w:rFonts w:eastAsia="Calibri" w:cs="Times New Roman"/>
          <w:szCs w:val="24"/>
        </w:rPr>
        <w:t>. Hosted under North Macedonia’s C</w:t>
      </w:r>
      <w:r w:rsidR="003C2F18" w:rsidRPr="007601D4">
        <w:rPr>
          <w:rFonts w:eastAsia="Calibri" w:cs="Times New Roman"/>
          <w:szCs w:val="24"/>
        </w:rPr>
        <w:t>-</w:t>
      </w:r>
      <w:proofErr w:type="spellStart"/>
      <w:r w:rsidRPr="007601D4">
        <w:rPr>
          <w:rFonts w:eastAsia="Calibri" w:cs="Times New Roman"/>
          <w:szCs w:val="24"/>
        </w:rPr>
        <w:t>i</w:t>
      </w:r>
      <w:proofErr w:type="spellEnd"/>
      <w:r w:rsidR="003C2F18" w:rsidRPr="007601D4">
        <w:rPr>
          <w:rFonts w:eastAsia="Calibri" w:cs="Times New Roman"/>
          <w:szCs w:val="24"/>
        </w:rPr>
        <w:t>-</w:t>
      </w:r>
      <w:r w:rsidRPr="007601D4">
        <w:rPr>
          <w:rFonts w:eastAsia="Calibri" w:cs="Times New Roman"/>
          <w:szCs w:val="24"/>
        </w:rPr>
        <w:t>O motto “</w:t>
      </w:r>
      <w:r w:rsidRPr="007601D4">
        <w:rPr>
          <w:rFonts w:eastAsia="Calibri" w:cs="Times New Roman"/>
          <w:i/>
          <w:iCs/>
          <w:szCs w:val="24"/>
        </w:rPr>
        <w:t>Empowering Regional Unity – Advancing European Future</w:t>
      </w:r>
      <w:r w:rsidRPr="007601D4">
        <w:rPr>
          <w:rFonts w:eastAsia="Calibri" w:cs="Times New Roman"/>
          <w:szCs w:val="24"/>
        </w:rPr>
        <w:t>”, the event highlighted the AII’s role in fostering EU integration, bridging infrastructural gaps, and promoting youth engagement. RCC’s contributions supported efforts to address regional disparities and reinforce collaboration among AII members.</w:t>
      </w:r>
    </w:p>
    <w:p w14:paraId="667B4AFE" w14:textId="77777777" w:rsidR="00CE3D43" w:rsidRPr="007601D4" w:rsidRDefault="00D70DB7" w:rsidP="00D13F1A">
      <w:pPr>
        <w:spacing w:line="360" w:lineRule="auto"/>
        <w:rPr>
          <w:rFonts w:eastAsia="Calibri" w:cs="Times New Roman"/>
          <w:szCs w:val="24"/>
        </w:rPr>
      </w:pPr>
      <w:r w:rsidRPr="007601D4">
        <w:rPr>
          <w:rFonts w:eastAsia="Calibri" w:cs="Times New Roman"/>
          <w:szCs w:val="24"/>
        </w:rPr>
        <w:t xml:space="preserve">In Washington DC, SG Kapetanović addressed the </w:t>
      </w:r>
      <w:r w:rsidRPr="007601D4">
        <w:rPr>
          <w:rFonts w:eastAsia="Calibri" w:cs="Times New Roman"/>
          <w:b/>
          <w:szCs w:val="24"/>
        </w:rPr>
        <w:t>Atlantic Council’s roundtable on regional cooperation and the Euro-Atlantic future</w:t>
      </w:r>
      <w:r w:rsidRPr="007601D4">
        <w:rPr>
          <w:rFonts w:eastAsia="Calibri" w:cs="Times New Roman"/>
          <w:szCs w:val="24"/>
        </w:rPr>
        <w:t>. There, he advocated for faster convergence and highlighted the RCC’s key role in delivering concrete results on integrated markets, mutual recognition, and improved regional mobility. Additional meetings with the Ambassador of the European Union to the United States and US counterparts explored ways to bolster transatlantic coordination in support of Western Balkans development and integration.</w:t>
      </w:r>
    </w:p>
    <w:p w14:paraId="7AADBB8A" w14:textId="33FF6C35" w:rsidR="001E739C" w:rsidRPr="007601D4" w:rsidRDefault="00D70DB7" w:rsidP="00D13F1A">
      <w:pPr>
        <w:spacing w:line="360" w:lineRule="auto"/>
        <w:rPr>
          <w:szCs w:val="24"/>
        </w:rPr>
      </w:pPr>
      <w:r w:rsidRPr="007601D4">
        <w:rPr>
          <w:rFonts w:eastAsia="Times New Roman"/>
        </w:rPr>
        <w:t xml:space="preserve">On 27 November 2025 in Sofia, </w:t>
      </w:r>
      <w:r w:rsidRPr="007601D4">
        <w:t>RCC representatives addressed the 2</w:t>
      </w:r>
      <w:r w:rsidRPr="007601D4">
        <w:rPr>
          <w:vertAlign w:val="superscript"/>
        </w:rPr>
        <w:t>nd</w:t>
      </w:r>
      <w:r w:rsidRPr="007601D4">
        <w:t xml:space="preserve"> </w:t>
      </w:r>
      <w:r w:rsidRPr="007601D4">
        <w:rPr>
          <w:b/>
          <w:bCs/>
        </w:rPr>
        <w:t>SEECP Political Director’s</w:t>
      </w:r>
      <w:r w:rsidRPr="007601D4">
        <w:t xml:space="preserve"> meeting under the Sofia C-</w:t>
      </w:r>
      <w:proofErr w:type="spellStart"/>
      <w:r w:rsidRPr="007601D4">
        <w:t>i</w:t>
      </w:r>
      <w:proofErr w:type="spellEnd"/>
      <w:r w:rsidRPr="007601D4">
        <w:t xml:space="preserve">-O, highlighting Berlin Process deliverables and progress on the SEE 2030 Strategy mid-term review. Participants reviewed Chairmanship’s </w:t>
      </w:r>
      <w:r w:rsidRPr="007601D4">
        <w:lastRenderedPageBreak/>
        <w:t xml:space="preserve">achievements and outlined major 2026 events including 30th anniversary of </w:t>
      </w:r>
      <w:r w:rsidRPr="007601D4">
        <w:rPr>
          <w:rFonts w:cs="Times New Roman"/>
        </w:rPr>
        <w:t xml:space="preserve">SEECP.  </w:t>
      </w:r>
      <w:r w:rsidRPr="007601D4">
        <w:rPr>
          <w:rFonts w:eastAsia="Times New Roman" w:cs="Times New Roman"/>
        </w:rPr>
        <w:t>The RCC was tasked with preparing a strategic assessment of SEECP’s three decades of cooperation for presentation at the upcoming Summit.</w:t>
      </w:r>
      <w:r w:rsidR="0037400D">
        <w:rPr>
          <w:rFonts w:eastAsia="Times New Roman" w:cs="Times New Roman"/>
        </w:rPr>
        <w:t xml:space="preserve"> </w:t>
      </w:r>
      <w:r w:rsidR="00A970F7" w:rsidRPr="007601D4">
        <w:rPr>
          <w:rFonts w:cs="Times New Roman"/>
          <w:shd w:val="clear" w:color="auto" w:fill="FFFFFF"/>
        </w:rPr>
        <w:t xml:space="preserve">RCC Secretary General </w:t>
      </w:r>
      <w:r w:rsidR="00A970F7" w:rsidRPr="007601D4">
        <w:rPr>
          <w:rStyle w:val="Strong"/>
          <w:rFonts w:cs="Times New Roman"/>
          <w:szCs w:val="24"/>
          <w:shd w:val="clear" w:color="auto" w:fill="FFFFFF"/>
        </w:rPr>
        <w:t>Amer Kapetanović</w:t>
      </w:r>
      <w:r w:rsidR="00A970F7" w:rsidRPr="007601D4">
        <w:rPr>
          <w:rFonts w:cs="Times New Roman"/>
          <w:shd w:val="clear" w:color="auto" w:fill="FFFFFF"/>
        </w:rPr>
        <w:t> participated in the 62</w:t>
      </w:r>
      <w:r w:rsidR="00A970F7" w:rsidRPr="0010140F">
        <w:rPr>
          <w:rFonts w:cs="Times New Roman"/>
          <w:shd w:val="clear" w:color="auto" w:fill="FFFFFF"/>
          <w:vertAlign w:val="superscript"/>
        </w:rPr>
        <w:t>nd</w:t>
      </w:r>
      <w:r w:rsidR="00A970F7" w:rsidRPr="007601D4">
        <w:rPr>
          <w:rFonts w:cs="Times New Roman"/>
          <w:shd w:val="clear" w:color="auto" w:fill="FFFFFF"/>
        </w:rPr>
        <w:t xml:space="preserve"> Munich Security Conference (MSC) </w:t>
      </w:r>
      <w:r w:rsidR="00BD0723">
        <w:rPr>
          <w:rFonts w:cs="Times New Roman"/>
          <w:shd w:val="clear" w:color="auto" w:fill="FFFFFF"/>
        </w:rPr>
        <w:t>on</w:t>
      </w:r>
      <w:r w:rsidR="00A970F7" w:rsidRPr="007601D4">
        <w:rPr>
          <w:rFonts w:cs="Times New Roman"/>
          <w:shd w:val="clear" w:color="auto" w:fill="FFFFFF"/>
        </w:rPr>
        <w:t xml:space="preserve"> 16-17 February, contributing to high-level discussions on European security, EU enlargement, Western Balkans’ role in the European and transatlantic architecture, and combating transnational organised crime. Secretary General held a series of bilateral meetings with international partners including </w:t>
      </w:r>
      <w:r w:rsidR="00A970F7" w:rsidRPr="007601D4">
        <w:rPr>
          <w:rFonts w:cs="Times New Roman"/>
        </w:rPr>
        <w:t>with </w:t>
      </w:r>
      <w:r w:rsidR="00A970F7" w:rsidRPr="007601D4">
        <w:rPr>
          <w:rStyle w:val="Strong"/>
          <w:rFonts w:cs="Times New Roman"/>
          <w:szCs w:val="24"/>
        </w:rPr>
        <w:t xml:space="preserve">Oana-Silvia </w:t>
      </w:r>
      <w:proofErr w:type="spellStart"/>
      <w:r w:rsidR="00A970F7" w:rsidRPr="007601D4">
        <w:rPr>
          <w:rStyle w:val="Strong"/>
          <w:rFonts w:cs="Times New Roman"/>
          <w:szCs w:val="24"/>
        </w:rPr>
        <w:t>Țoiu</w:t>
      </w:r>
      <w:proofErr w:type="spellEnd"/>
      <w:r w:rsidR="00A970F7" w:rsidRPr="007601D4">
        <w:rPr>
          <w:rFonts w:cs="Times New Roman"/>
        </w:rPr>
        <w:t>, Minister of Foreign Affairs of Romania; </w:t>
      </w:r>
      <w:r w:rsidR="00A970F7" w:rsidRPr="007601D4">
        <w:rPr>
          <w:rStyle w:val="Strong"/>
          <w:rFonts w:cs="Times New Roman"/>
          <w:szCs w:val="24"/>
        </w:rPr>
        <w:t>Marko Đurić</w:t>
      </w:r>
      <w:r w:rsidR="00A970F7" w:rsidRPr="007601D4">
        <w:rPr>
          <w:rFonts w:cs="Times New Roman"/>
        </w:rPr>
        <w:t>, Minister of Foreign Affairs of Serbia; </w:t>
      </w:r>
      <w:r w:rsidR="00A970F7" w:rsidRPr="007601D4">
        <w:rPr>
          <w:rStyle w:val="Strong"/>
          <w:rFonts w:cs="Times New Roman"/>
          <w:szCs w:val="24"/>
        </w:rPr>
        <w:t>Odile Renaud-Basso</w:t>
      </w:r>
      <w:r w:rsidR="00A970F7" w:rsidRPr="007601D4">
        <w:rPr>
          <w:rFonts w:cs="Times New Roman"/>
        </w:rPr>
        <w:t>, President of the European Bank for Reconstruction and Development (EBRD); </w:t>
      </w:r>
      <w:r w:rsidR="00A970F7" w:rsidRPr="007601D4">
        <w:rPr>
          <w:rStyle w:val="Strong"/>
          <w:rFonts w:cs="Times New Roman"/>
          <w:szCs w:val="24"/>
        </w:rPr>
        <w:t>Skoog Olof</w:t>
      </w:r>
      <w:r w:rsidR="00A970F7" w:rsidRPr="007601D4">
        <w:rPr>
          <w:rFonts w:cs="Times New Roman"/>
        </w:rPr>
        <w:t>, European Union External Action (EEAS) Deputy Secretary General for Political Affairs; and </w:t>
      </w:r>
      <w:r w:rsidR="00A970F7" w:rsidRPr="007601D4">
        <w:rPr>
          <w:rStyle w:val="Strong"/>
          <w:rFonts w:cs="Times New Roman"/>
          <w:szCs w:val="24"/>
        </w:rPr>
        <w:t>Carl-Philipp Sassenrath</w:t>
      </w:r>
      <w:r w:rsidR="00A970F7" w:rsidRPr="007601D4">
        <w:rPr>
          <w:rFonts w:cs="Times New Roman"/>
        </w:rPr>
        <w:t>, Member of the German Bundestag to advance regional cooperation under the</w:t>
      </w:r>
      <w:hyperlink r:id="rId83" w:history="1">
        <w:r w:rsidR="00A970F7" w:rsidRPr="007601D4">
          <w:rPr>
            <w:rStyle w:val="Hyperlink"/>
            <w:rFonts w:cs="Times New Roman"/>
            <w:b/>
            <w:bCs/>
            <w:color w:val="0D6EFD"/>
            <w:szCs w:val="24"/>
          </w:rPr>
          <w:t xml:space="preserve"> SEECP</w:t>
        </w:r>
      </w:hyperlink>
      <w:r w:rsidR="00A970F7" w:rsidRPr="007601D4">
        <w:rPr>
          <w:rFonts w:cs="Times New Roman"/>
          <w:b/>
          <w:bCs/>
        </w:rPr>
        <w:t>,</w:t>
      </w:r>
      <w:r w:rsidR="00A970F7" w:rsidRPr="007601D4">
        <w:rPr>
          <w:rFonts w:cs="Times New Roman"/>
        </w:rPr>
        <w:t xml:space="preserve"> accelerate implementation of the </w:t>
      </w:r>
      <w:hyperlink r:id="rId84" w:history="1">
        <w:r w:rsidR="00A970F7" w:rsidRPr="007601D4">
          <w:rPr>
            <w:rStyle w:val="Hyperlink"/>
            <w:rFonts w:cs="Times New Roman"/>
            <w:b/>
            <w:bCs/>
            <w:color w:val="0D6EFD"/>
            <w:szCs w:val="24"/>
          </w:rPr>
          <w:t>SEE2030 Strategy</w:t>
        </w:r>
      </w:hyperlink>
      <w:r w:rsidR="00A970F7" w:rsidRPr="007601D4">
        <w:rPr>
          <w:rFonts w:cs="Times New Roman"/>
          <w:b/>
          <w:bCs/>
        </w:rPr>
        <w:t>,</w:t>
      </w:r>
      <w:r w:rsidR="00A970F7" w:rsidRPr="007601D4">
        <w:rPr>
          <w:rFonts w:cs="Times New Roman"/>
          <w:color w:val="8B8B8B"/>
        </w:rPr>
        <w:t xml:space="preserve"> </w:t>
      </w:r>
      <w:r w:rsidR="00A970F7" w:rsidRPr="007601D4">
        <w:rPr>
          <w:rFonts w:cs="Times New Roman"/>
        </w:rPr>
        <w:t>support economic and EU integration of the Western Balkans, and enhance joint responses to organised crime, hybrid threats, and institutional resilience.</w:t>
      </w:r>
      <w:r w:rsidR="00CE3D43" w:rsidRPr="007601D4">
        <w:rPr>
          <w:rFonts w:cs="Times New Roman"/>
        </w:rPr>
        <w:t xml:space="preserve"> </w:t>
      </w:r>
      <w:r w:rsidR="008E3438" w:rsidRPr="007601D4">
        <w:rPr>
          <w:szCs w:val="24"/>
        </w:rPr>
        <w:t xml:space="preserve">High-level engagements reinforced the RCC’s commitment to dialogue and regional cooperation. </w:t>
      </w:r>
    </w:p>
    <w:p w14:paraId="0323B3C9" w14:textId="1A229A78" w:rsidR="002B58E4" w:rsidRPr="007601D4" w:rsidRDefault="008E3438" w:rsidP="00D13F1A">
      <w:pPr>
        <w:spacing w:line="360" w:lineRule="auto"/>
        <w:rPr>
          <w:szCs w:val="24"/>
          <w:shd w:val="clear" w:color="auto" w:fill="FFFFFF"/>
        </w:rPr>
      </w:pPr>
      <w:r w:rsidRPr="007601D4">
        <w:rPr>
          <w:szCs w:val="24"/>
        </w:rPr>
        <w:t xml:space="preserve">On 18 February in Sarajevo, the </w:t>
      </w:r>
      <w:r w:rsidRPr="007601D4">
        <w:rPr>
          <w:szCs w:val="24"/>
          <w:shd w:val="clear" w:color="auto" w:fill="FFFFFF"/>
        </w:rPr>
        <w:t xml:space="preserve">RCC Secretary General </w:t>
      </w:r>
      <w:r w:rsidRPr="007601D4">
        <w:rPr>
          <w:b/>
          <w:bCs/>
          <w:szCs w:val="24"/>
          <w:shd w:val="clear" w:color="auto" w:fill="FFFFFF"/>
        </w:rPr>
        <w:t>Amer Kapetanović</w:t>
      </w:r>
      <w:r w:rsidRPr="007601D4">
        <w:rPr>
          <w:szCs w:val="24"/>
          <w:shd w:val="clear" w:color="auto" w:fill="FFFFFF"/>
        </w:rPr>
        <w:t xml:space="preserve"> hosted a meeting on regional cooperation with the MFA of Bosnia and Herzegovina </w:t>
      </w:r>
      <w:r w:rsidRPr="007601D4">
        <w:rPr>
          <w:b/>
          <w:bCs/>
          <w:szCs w:val="24"/>
          <w:shd w:val="clear" w:color="auto" w:fill="FFFFFF"/>
        </w:rPr>
        <w:t>Elmedin Konaković</w:t>
      </w:r>
      <w:r w:rsidRPr="007601D4">
        <w:rPr>
          <w:szCs w:val="24"/>
          <w:shd w:val="clear" w:color="auto" w:fill="FFFFFF"/>
        </w:rPr>
        <w:t xml:space="preserve">, the MFA of Serbia </w:t>
      </w:r>
      <w:r w:rsidRPr="007601D4">
        <w:rPr>
          <w:b/>
          <w:bCs/>
          <w:szCs w:val="24"/>
          <w:shd w:val="clear" w:color="auto" w:fill="FFFFFF"/>
        </w:rPr>
        <w:t>Marko Đurić</w:t>
      </w:r>
      <w:r w:rsidRPr="007601D4">
        <w:rPr>
          <w:szCs w:val="24"/>
          <w:shd w:val="clear" w:color="auto" w:fill="FFFFFF"/>
        </w:rPr>
        <w:t xml:space="preserve">, and the Deputy Managing Director for Western Europe at the European External Action Service (EEAS) </w:t>
      </w:r>
      <w:r w:rsidRPr="007601D4">
        <w:rPr>
          <w:b/>
          <w:bCs/>
          <w:szCs w:val="24"/>
          <w:shd w:val="clear" w:color="auto" w:fill="FFFFFF"/>
        </w:rPr>
        <w:t>Emanuele Giaufret</w:t>
      </w:r>
      <w:r w:rsidRPr="007601D4">
        <w:rPr>
          <w:szCs w:val="24"/>
          <w:shd w:val="clear" w:color="auto" w:fill="FFFFFF"/>
        </w:rPr>
        <w:t>, at the RCC Secretariat in Sarajevo</w:t>
      </w:r>
      <w:r w:rsidRPr="007601D4">
        <w:rPr>
          <w:szCs w:val="24"/>
        </w:rPr>
        <w:t xml:space="preserve"> to</w:t>
      </w:r>
      <w:r w:rsidRPr="007601D4">
        <w:rPr>
          <w:szCs w:val="24"/>
          <w:shd w:val="clear" w:color="auto" w:fill="FFFFFF"/>
        </w:rPr>
        <w:t xml:space="preserve"> advance coordinated responses to shared challenges and common European objectives. </w:t>
      </w:r>
    </w:p>
    <w:p w14:paraId="6C44E52B" w14:textId="3EEEA2E1" w:rsidR="00FA1721" w:rsidRPr="007601D4" w:rsidRDefault="008E3438" w:rsidP="00D13F1A">
      <w:pPr>
        <w:spacing w:line="360" w:lineRule="auto"/>
        <w:rPr>
          <w:szCs w:val="24"/>
        </w:rPr>
      </w:pPr>
      <w:r w:rsidRPr="007601D4">
        <w:rPr>
          <w:szCs w:val="24"/>
          <w:shd w:val="clear" w:color="auto" w:fill="FFFFFF"/>
        </w:rPr>
        <w:t xml:space="preserve">Earlier, on 10 February, the Secretary General held regular political consultations in Berlin with </w:t>
      </w:r>
      <w:r w:rsidRPr="007601D4">
        <w:rPr>
          <w:szCs w:val="24"/>
        </w:rPr>
        <w:t xml:space="preserve">Tim Prange, Head of Division for Bilateral Relations </w:t>
      </w:r>
      <w:r w:rsidR="008C364C">
        <w:rPr>
          <w:szCs w:val="24"/>
        </w:rPr>
        <w:t>with</w:t>
      </w:r>
      <w:r w:rsidRPr="007601D4">
        <w:rPr>
          <w:szCs w:val="24"/>
        </w:rPr>
        <w:t xml:space="preserve"> Central, East and South-Eastern Europe at the Federal Chancellery of Germany</w:t>
      </w:r>
      <w:r w:rsidR="005C56DE">
        <w:rPr>
          <w:szCs w:val="24"/>
        </w:rPr>
        <w:t>,</w:t>
      </w:r>
      <w:r w:rsidRPr="007601D4">
        <w:rPr>
          <w:szCs w:val="24"/>
        </w:rPr>
        <w:t xml:space="preserve"> and Michael Reiffenstuel, MFA Director for South-Eastern Europe, Turkey, UK, EFTA States, Arctic Policies, OSCE and Council of Europe to discuss 2026 RCC planning and Berlin Process deliverables. </w:t>
      </w:r>
      <w:r w:rsidRPr="007601D4">
        <w:rPr>
          <w:szCs w:val="24"/>
          <w:shd w:val="clear" w:color="auto" w:fill="FFFFFF"/>
        </w:rPr>
        <w:t xml:space="preserve">On 3 </w:t>
      </w:r>
      <w:r w:rsidRPr="007601D4">
        <w:rPr>
          <w:szCs w:val="24"/>
        </w:rPr>
        <w:t>February, the</w:t>
      </w:r>
      <w:r w:rsidR="00287D74">
        <w:rPr>
          <w:rFonts w:eastAsia="Times New Roman"/>
          <w:b/>
          <w:bCs/>
          <w:szCs w:val="24"/>
        </w:rPr>
        <w:t xml:space="preserve"> </w:t>
      </w:r>
      <w:r w:rsidRPr="007601D4">
        <w:rPr>
          <w:rFonts w:eastAsia="Times New Roman"/>
          <w:b/>
          <w:bCs/>
          <w:szCs w:val="24"/>
        </w:rPr>
        <w:t xml:space="preserve">Secretary General </w:t>
      </w:r>
      <w:r w:rsidRPr="007601D4">
        <w:rPr>
          <w:rFonts w:eastAsia="Times New Roman"/>
          <w:szCs w:val="24"/>
        </w:rPr>
        <w:t>welcomed the</w:t>
      </w:r>
      <w:r w:rsidR="00287D74">
        <w:rPr>
          <w:rFonts w:eastAsia="Times New Roman"/>
          <w:szCs w:val="24"/>
        </w:rPr>
        <w:t xml:space="preserve"> </w:t>
      </w:r>
      <w:r w:rsidRPr="007601D4">
        <w:rPr>
          <w:rFonts w:eastAsia="Times New Roman"/>
          <w:b/>
          <w:bCs/>
          <w:szCs w:val="24"/>
        </w:rPr>
        <w:t xml:space="preserve">Deputy Minister of Foreign Affairs of Greece, Theoharis </w:t>
      </w:r>
      <w:proofErr w:type="spellStart"/>
      <w:r w:rsidRPr="007601D4">
        <w:rPr>
          <w:rFonts w:eastAsia="Times New Roman"/>
          <w:b/>
          <w:bCs/>
          <w:szCs w:val="24"/>
        </w:rPr>
        <w:t>Theoharis</w:t>
      </w:r>
      <w:proofErr w:type="spellEnd"/>
      <w:r w:rsidRPr="007601D4">
        <w:rPr>
          <w:rFonts w:eastAsia="Times New Roman"/>
          <w:szCs w:val="24"/>
        </w:rPr>
        <w:t xml:space="preserve">, in Sarajevo </w:t>
      </w:r>
      <w:r w:rsidRPr="007601D4">
        <w:rPr>
          <w:szCs w:val="24"/>
        </w:rPr>
        <w:t>to discuss SEE2030 implementation, EU integration, and reform progress under the EU Growth Plan, reaffirming Greece’s strong partnership and support for RCC priorities.</w:t>
      </w:r>
      <w:r w:rsidR="00FA1721" w:rsidRPr="007601D4">
        <w:rPr>
          <w:szCs w:val="24"/>
        </w:rPr>
        <w:t xml:space="preserve"> </w:t>
      </w:r>
    </w:p>
    <w:p w14:paraId="3A386EC3" w14:textId="63EB5E63" w:rsidR="00FA1721" w:rsidRPr="007601D4" w:rsidRDefault="008E3438" w:rsidP="00D13F1A">
      <w:pPr>
        <w:spacing w:line="360" w:lineRule="auto"/>
        <w:rPr>
          <w:szCs w:val="24"/>
          <w:shd w:val="clear" w:color="auto" w:fill="FFFFFF"/>
        </w:rPr>
      </w:pPr>
      <w:r w:rsidRPr="007601D4">
        <w:rPr>
          <w:rFonts w:eastAsia="Times New Roman"/>
          <w:szCs w:val="24"/>
        </w:rPr>
        <w:lastRenderedPageBreak/>
        <w:t xml:space="preserve">On 12 January, during a visit to Belgrade, the Secretary General met </w:t>
      </w:r>
      <w:r w:rsidRPr="007601D4">
        <w:rPr>
          <w:rStyle w:val="Strong"/>
          <w:szCs w:val="24"/>
          <w:shd w:val="clear" w:color="auto" w:fill="FFFFFF"/>
        </w:rPr>
        <w:t>Marko Đurić</w:t>
      </w:r>
      <w:r w:rsidRPr="007601D4">
        <w:rPr>
          <w:szCs w:val="24"/>
          <w:shd w:val="clear" w:color="auto" w:fill="FFFFFF"/>
        </w:rPr>
        <w:t>, Minister of Foreign Affairs, and</w:t>
      </w:r>
      <w:r w:rsidR="0084700F">
        <w:rPr>
          <w:szCs w:val="24"/>
          <w:shd w:val="clear" w:color="auto" w:fill="FFFFFF"/>
        </w:rPr>
        <w:t xml:space="preserve"> </w:t>
      </w:r>
      <w:r w:rsidRPr="007601D4">
        <w:rPr>
          <w:rStyle w:val="Strong"/>
          <w:szCs w:val="24"/>
          <w:shd w:val="clear" w:color="auto" w:fill="FFFFFF"/>
        </w:rPr>
        <w:t>Nemanja Starović</w:t>
      </w:r>
      <w:r w:rsidRPr="007601D4">
        <w:rPr>
          <w:szCs w:val="24"/>
          <w:shd w:val="clear" w:color="auto" w:fill="FFFFFF"/>
        </w:rPr>
        <w:t>, Minister for European Integration of Serbia</w:t>
      </w:r>
      <w:r w:rsidRPr="007601D4">
        <w:rPr>
          <w:rFonts w:eastAsia="Times New Roman"/>
          <w:szCs w:val="24"/>
        </w:rPr>
        <w:t xml:space="preserve">, </w:t>
      </w:r>
      <w:r w:rsidR="00854174">
        <w:rPr>
          <w:rFonts w:eastAsia="Times New Roman"/>
          <w:szCs w:val="24"/>
        </w:rPr>
        <w:t xml:space="preserve">who </w:t>
      </w:r>
      <w:r w:rsidRPr="007601D4">
        <w:rPr>
          <w:szCs w:val="24"/>
          <w:shd w:val="clear" w:color="auto" w:fill="FFFFFF"/>
        </w:rPr>
        <w:t xml:space="preserve">reaffirmed Serbia’s continued support for the RCC mandate and its role in strengthening regional cooperation and stability. </w:t>
      </w:r>
      <w:r w:rsidR="00FA1721" w:rsidRPr="007601D4">
        <w:rPr>
          <w:szCs w:val="24"/>
          <w:shd w:val="clear" w:color="auto" w:fill="FFFFFF"/>
        </w:rPr>
        <w:t xml:space="preserve"> </w:t>
      </w:r>
    </w:p>
    <w:p w14:paraId="1E50D91F" w14:textId="08CCF750" w:rsidR="00D70DB7" w:rsidRPr="007601D4" w:rsidRDefault="00D70DB7" w:rsidP="00D13F1A">
      <w:pPr>
        <w:spacing w:line="360" w:lineRule="auto"/>
        <w:rPr>
          <w:rFonts w:eastAsia="Times New Roman"/>
          <w:color w:val="000000" w:themeColor="text1"/>
          <w:szCs w:val="24"/>
          <w:highlight w:val="yellow"/>
        </w:rPr>
      </w:pPr>
      <w:r w:rsidRPr="007601D4">
        <w:rPr>
          <w:szCs w:val="24"/>
        </w:rPr>
        <w:t xml:space="preserve">The RCC Secretary General addressed the </w:t>
      </w:r>
      <w:r w:rsidRPr="007601D4">
        <w:rPr>
          <w:rStyle w:val="whitespace-normal"/>
          <w:b/>
          <w:szCs w:val="24"/>
        </w:rPr>
        <w:t>COWEB Working Party</w:t>
      </w:r>
      <w:r w:rsidRPr="007601D4">
        <w:rPr>
          <w:szCs w:val="24"/>
        </w:rPr>
        <w:t xml:space="preserve"> on 11 December in </w:t>
      </w:r>
      <w:r w:rsidRPr="007601D4">
        <w:rPr>
          <w:rStyle w:val="whitespace-normal"/>
          <w:szCs w:val="24"/>
        </w:rPr>
        <w:t>Brussels</w:t>
      </w:r>
      <w:r w:rsidRPr="007601D4">
        <w:rPr>
          <w:szCs w:val="24"/>
        </w:rPr>
        <w:t xml:space="preserve">, providing a comprehensive overview of recent developments and priorities in regional cooperation, including political and economic integration efforts, strengthened mutual trust, and tangible socio-economic achievements across the </w:t>
      </w:r>
      <w:r w:rsidRPr="007601D4">
        <w:rPr>
          <w:rStyle w:val="whitespace-normal"/>
          <w:szCs w:val="24"/>
        </w:rPr>
        <w:t>Western Balkans</w:t>
      </w:r>
      <w:r w:rsidRPr="007601D4">
        <w:rPr>
          <w:szCs w:val="24"/>
        </w:rPr>
        <w:t>.</w:t>
      </w:r>
    </w:p>
    <w:p w14:paraId="1EA63C93" w14:textId="2D993D7D" w:rsidR="00D70DB7" w:rsidRPr="007601D4" w:rsidRDefault="00D70DB7" w:rsidP="00D13F1A">
      <w:pPr>
        <w:pStyle w:val="NoSpacing"/>
        <w:spacing w:before="120" w:after="240" w:line="360" w:lineRule="auto"/>
        <w:jc w:val="both"/>
        <w:rPr>
          <w:rFonts w:ascii="Times New Roman" w:hAnsi="Times New Roman"/>
          <w:sz w:val="24"/>
          <w:szCs w:val="24"/>
          <w:shd w:val="clear" w:color="auto" w:fill="FFFFFF"/>
        </w:rPr>
      </w:pPr>
      <w:r w:rsidRPr="007601D4">
        <w:rPr>
          <w:rFonts w:ascii="Times New Roman" w:hAnsi="Times New Roman"/>
          <w:sz w:val="24"/>
          <w:szCs w:val="24"/>
          <w:shd w:val="clear" w:color="auto" w:fill="FFFFFF"/>
        </w:rPr>
        <w:t>On 3 December, the Secretary General opened the CEFTA Week 2025 in Pristina, alongside</w:t>
      </w:r>
      <w:r w:rsidR="00B25C30">
        <w:rPr>
          <w:rFonts w:ascii="Times New Roman" w:hAnsi="Times New Roman"/>
          <w:sz w:val="24"/>
          <w:szCs w:val="24"/>
          <w:shd w:val="clear" w:color="auto" w:fill="FFFFFF"/>
        </w:rPr>
        <w:t xml:space="preserve"> </w:t>
      </w:r>
      <w:r w:rsidRPr="007601D4">
        <w:rPr>
          <w:rStyle w:val="Strong"/>
          <w:rFonts w:ascii="Times New Roman" w:hAnsi="Times New Roman"/>
          <w:sz w:val="24"/>
          <w:szCs w:val="24"/>
          <w:shd w:val="clear" w:color="auto" w:fill="FFFFFF"/>
        </w:rPr>
        <w:t>Rozeta Hajdari</w:t>
      </w:r>
      <w:r w:rsidRPr="007601D4">
        <w:rPr>
          <w:rFonts w:ascii="Times New Roman" w:hAnsi="Times New Roman"/>
          <w:sz w:val="24"/>
          <w:szCs w:val="24"/>
          <w:shd w:val="clear" w:color="auto" w:fill="FFFFFF"/>
        </w:rPr>
        <w:t>, Minister of Industry, Entrepreneurship and Trade and CEFTA Chair-in-Office;</w:t>
      </w:r>
      <w:r w:rsidR="00B25C30">
        <w:rPr>
          <w:rFonts w:ascii="Times New Roman" w:hAnsi="Times New Roman"/>
          <w:sz w:val="24"/>
          <w:szCs w:val="24"/>
          <w:shd w:val="clear" w:color="auto" w:fill="FFFFFF"/>
        </w:rPr>
        <w:t xml:space="preserve"> </w:t>
      </w:r>
      <w:r w:rsidRPr="007601D4">
        <w:rPr>
          <w:rStyle w:val="Strong"/>
          <w:rFonts w:ascii="Times New Roman" w:hAnsi="Times New Roman"/>
          <w:sz w:val="24"/>
          <w:szCs w:val="24"/>
          <w:shd w:val="clear" w:color="auto" w:fill="FFFFFF"/>
        </w:rPr>
        <w:t xml:space="preserve">Valentina </w:t>
      </w:r>
      <w:proofErr w:type="spellStart"/>
      <w:r w:rsidRPr="007601D4">
        <w:rPr>
          <w:rStyle w:val="Strong"/>
          <w:rFonts w:ascii="Times New Roman" w:hAnsi="Times New Roman"/>
          <w:sz w:val="24"/>
          <w:szCs w:val="24"/>
          <w:shd w:val="clear" w:color="auto" w:fill="FFFFFF"/>
        </w:rPr>
        <w:t>Superti</w:t>
      </w:r>
      <w:proofErr w:type="spellEnd"/>
      <w:r w:rsidRPr="007601D4">
        <w:rPr>
          <w:rFonts w:ascii="Times New Roman" w:hAnsi="Times New Roman"/>
          <w:sz w:val="24"/>
          <w:szCs w:val="24"/>
          <w:shd w:val="clear" w:color="auto" w:fill="FFFFFF"/>
        </w:rPr>
        <w:t xml:space="preserve">, Director at the </w:t>
      </w:r>
      <w:r w:rsidR="00A672B7" w:rsidRPr="007601D4">
        <w:rPr>
          <w:rFonts w:ascii="Times New Roman" w:hAnsi="Times New Roman"/>
          <w:sz w:val="24"/>
          <w:szCs w:val="24"/>
          <w:shd w:val="clear" w:color="auto" w:fill="FFFFFF"/>
        </w:rPr>
        <w:t>EC’s</w:t>
      </w:r>
      <w:r w:rsidRPr="007601D4">
        <w:rPr>
          <w:rFonts w:ascii="Times New Roman" w:hAnsi="Times New Roman"/>
          <w:sz w:val="24"/>
          <w:szCs w:val="24"/>
          <w:shd w:val="clear" w:color="auto" w:fill="FFFFFF"/>
        </w:rPr>
        <w:t xml:space="preserve"> DG ENEST;</w:t>
      </w:r>
      <w:r w:rsidR="00056ADD">
        <w:rPr>
          <w:rStyle w:val="Strong"/>
          <w:rFonts w:ascii="Times New Roman" w:hAnsi="Times New Roman"/>
          <w:sz w:val="24"/>
          <w:szCs w:val="24"/>
          <w:shd w:val="clear" w:color="auto" w:fill="FFFFFF"/>
        </w:rPr>
        <w:t xml:space="preserve"> </w:t>
      </w:r>
      <w:r w:rsidRPr="007601D4">
        <w:rPr>
          <w:rStyle w:val="Strong"/>
          <w:rFonts w:ascii="Times New Roman" w:hAnsi="Times New Roman"/>
          <w:sz w:val="24"/>
          <w:szCs w:val="24"/>
          <w:shd w:val="clear" w:color="auto" w:fill="FFFFFF"/>
        </w:rPr>
        <w:t>Matej Zakonjšek</w:t>
      </w:r>
      <w:r w:rsidRPr="007601D4">
        <w:rPr>
          <w:rFonts w:ascii="Times New Roman" w:hAnsi="Times New Roman"/>
          <w:sz w:val="24"/>
          <w:szCs w:val="24"/>
          <w:shd w:val="clear" w:color="auto" w:fill="FFFFFF"/>
        </w:rPr>
        <w:t>, Director of the Transport Community; and</w:t>
      </w:r>
      <w:r w:rsidR="00056ADD">
        <w:rPr>
          <w:rFonts w:ascii="Times New Roman" w:hAnsi="Times New Roman"/>
          <w:sz w:val="24"/>
          <w:szCs w:val="24"/>
          <w:shd w:val="clear" w:color="auto" w:fill="FFFFFF"/>
        </w:rPr>
        <w:t xml:space="preserve"> </w:t>
      </w:r>
      <w:r w:rsidRPr="007601D4">
        <w:rPr>
          <w:rStyle w:val="Strong"/>
          <w:rFonts w:ascii="Times New Roman" w:hAnsi="Times New Roman"/>
          <w:sz w:val="24"/>
          <w:szCs w:val="24"/>
          <w:shd w:val="clear" w:color="auto" w:fill="FFFFFF"/>
        </w:rPr>
        <w:t>Pranvera Kastrati</w:t>
      </w:r>
      <w:r w:rsidRPr="007601D4">
        <w:rPr>
          <w:rFonts w:ascii="Times New Roman" w:hAnsi="Times New Roman"/>
          <w:sz w:val="24"/>
          <w:szCs w:val="24"/>
          <w:shd w:val="clear" w:color="auto" w:fill="FFFFFF"/>
        </w:rPr>
        <w:t>, Director of the CEFTA Secretariat. On the same day, RCC Secretary General met with then acting Prime Minister</w:t>
      </w:r>
      <w:r w:rsidR="00056ADD">
        <w:rPr>
          <w:rFonts w:ascii="Times New Roman" w:hAnsi="Times New Roman"/>
          <w:sz w:val="24"/>
          <w:szCs w:val="24"/>
          <w:shd w:val="clear" w:color="auto" w:fill="FFFFFF"/>
        </w:rPr>
        <w:t xml:space="preserve"> </w:t>
      </w:r>
      <w:r w:rsidRPr="007601D4">
        <w:rPr>
          <w:rStyle w:val="Strong"/>
          <w:rFonts w:ascii="Times New Roman" w:hAnsi="Times New Roman"/>
          <w:sz w:val="24"/>
          <w:szCs w:val="24"/>
          <w:shd w:val="clear" w:color="auto" w:fill="FFFFFF"/>
        </w:rPr>
        <w:t>Albin Kurti</w:t>
      </w:r>
      <w:r w:rsidRPr="007601D4">
        <w:rPr>
          <w:rFonts w:ascii="Times New Roman" w:hAnsi="Times New Roman"/>
          <w:sz w:val="24"/>
          <w:szCs w:val="24"/>
          <w:shd w:val="clear" w:color="auto" w:fill="FFFFFF"/>
        </w:rPr>
        <w:t xml:space="preserve"> underscoring the importance of advancing CRM implementation and aligning regional efforts with the EU Growth Plan. RCC’s full support to all governments in delivering reforms that generate practical benefits to people and businesses was also reaffirmed.</w:t>
      </w:r>
    </w:p>
    <w:p w14:paraId="6A6EA3B9" w14:textId="6AD8AEA9" w:rsidR="00D70DB7" w:rsidRPr="007601D4" w:rsidRDefault="00D70DB7" w:rsidP="00D13F1A">
      <w:pPr>
        <w:pStyle w:val="NoSpacing"/>
        <w:spacing w:before="120" w:after="240" w:line="360" w:lineRule="auto"/>
        <w:jc w:val="both"/>
        <w:rPr>
          <w:rFonts w:ascii="Times New Roman" w:hAnsi="Times New Roman"/>
          <w:sz w:val="24"/>
          <w:szCs w:val="24"/>
          <w:shd w:val="clear" w:color="auto" w:fill="FFFFFF"/>
        </w:rPr>
      </w:pPr>
      <w:r w:rsidRPr="007601D4">
        <w:rPr>
          <w:rFonts w:ascii="Times New Roman" w:hAnsi="Times New Roman"/>
          <w:sz w:val="24"/>
          <w:szCs w:val="24"/>
          <w:shd w:val="clear" w:color="auto" w:fill="FFFFFF"/>
        </w:rPr>
        <w:t xml:space="preserve">The </w:t>
      </w:r>
      <w:r w:rsidRPr="007601D4">
        <w:rPr>
          <w:rFonts w:ascii="Times New Roman" w:hAnsi="Times New Roman"/>
          <w:b/>
          <w:bCs/>
          <w:sz w:val="24"/>
          <w:szCs w:val="24"/>
          <w:shd w:val="clear" w:color="auto" w:fill="FFFFFF"/>
        </w:rPr>
        <w:t>57th RCC Board meeting</w:t>
      </w:r>
      <w:r w:rsidRPr="007601D4">
        <w:rPr>
          <w:rFonts w:ascii="Times New Roman" w:hAnsi="Times New Roman"/>
          <w:sz w:val="24"/>
          <w:szCs w:val="24"/>
          <w:shd w:val="clear" w:color="auto" w:fill="FFFFFF"/>
        </w:rPr>
        <w:t xml:space="preserve"> o</w:t>
      </w:r>
      <w:r w:rsidR="00884DB4">
        <w:rPr>
          <w:rFonts w:ascii="Times New Roman" w:hAnsi="Times New Roman"/>
          <w:sz w:val="24"/>
          <w:szCs w:val="24"/>
          <w:shd w:val="clear" w:color="auto" w:fill="FFFFFF"/>
        </w:rPr>
        <w:t>f</w:t>
      </w:r>
      <w:r w:rsidRPr="007601D4">
        <w:rPr>
          <w:rFonts w:ascii="Times New Roman" w:hAnsi="Times New Roman"/>
          <w:sz w:val="24"/>
          <w:szCs w:val="24"/>
          <w:shd w:val="clear" w:color="auto" w:fill="FFFFFF"/>
        </w:rPr>
        <w:t xml:space="preserve"> 6 November 2025 in Sarajevo welcomed the United Kingdom as a new Board Participant to enhance regional partnerships. The Board adopted the Secretary General’s Regular Report for 1 June-30 October 2025 and approved the 2026 Budget, securing financial continuity for strategic initiatives.</w:t>
      </w:r>
    </w:p>
    <w:p w14:paraId="318BE59F" w14:textId="61CF886A" w:rsidR="00D70DB7" w:rsidRPr="007601D4" w:rsidRDefault="00D70DB7" w:rsidP="00D13F1A">
      <w:pPr>
        <w:spacing w:line="360" w:lineRule="auto"/>
        <w:rPr>
          <w:rFonts w:cs="Times New Roman"/>
          <w:szCs w:val="24"/>
        </w:rPr>
      </w:pPr>
      <w:r w:rsidRPr="007601D4">
        <w:rPr>
          <w:rFonts w:cs="Times New Roman"/>
          <w:szCs w:val="24"/>
        </w:rPr>
        <w:t>The RCC supported the Sofia SEECP C-</w:t>
      </w:r>
      <w:proofErr w:type="spellStart"/>
      <w:r w:rsidRPr="007601D4">
        <w:rPr>
          <w:rFonts w:cs="Times New Roman"/>
          <w:szCs w:val="24"/>
        </w:rPr>
        <w:t>i</w:t>
      </w:r>
      <w:proofErr w:type="spellEnd"/>
      <w:r w:rsidRPr="007601D4">
        <w:rPr>
          <w:rFonts w:cs="Times New Roman"/>
          <w:szCs w:val="24"/>
        </w:rPr>
        <w:t>-O agenda by co-organi</w:t>
      </w:r>
      <w:r w:rsidR="007601D4">
        <w:rPr>
          <w:rFonts w:cs="Times New Roman"/>
          <w:szCs w:val="24"/>
        </w:rPr>
        <w:t>s</w:t>
      </w:r>
      <w:r w:rsidRPr="007601D4">
        <w:rPr>
          <w:rFonts w:cs="Times New Roman"/>
          <w:szCs w:val="24"/>
        </w:rPr>
        <w:t xml:space="preserve">ing the </w:t>
      </w:r>
      <w:r w:rsidRPr="007601D4">
        <w:rPr>
          <w:rFonts w:cs="Times New Roman"/>
          <w:b/>
          <w:bCs/>
          <w:szCs w:val="24"/>
        </w:rPr>
        <w:t xml:space="preserve">2026 SEECP Junior Diplomats Forum </w:t>
      </w:r>
      <w:r w:rsidRPr="007601D4">
        <w:rPr>
          <w:rFonts w:cs="Times New Roman"/>
          <w:szCs w:val="24"/>
        </w:rPr>
        <w:t xml:space="preserve">within the </w:t>
      </w:r>
      <w:r w:rsidRPr="007601D4">
        <w:rPr>
          <w:rFonts w:cs="Times New Roman"/>
          <w:b/>
          <w:bCs/>
          <w:szCs w:val="24"/>
        </w:rPr>
        <w:t>19th Winter School of Diplomacy</w:t>
      </w:r>
      <w:r w:rsidRPr="007601D4">
        <w:rPr>
          <w:rFonts w:cs="Times New Roman"/>
          <w:szCs w:val="24"/>
        </w:rPr>
        <w:t xml:space="preserve">, held 22-27 March 2026 in Sandanski, Bulgaria, alongside the Bulgarian Diplomatic Institute (BDI) and Hanns Seidel Foundation. This initiative delivered a high-impact platform for 20 junior diplomats from SEE, the Black Sea region, and EU Member States, fostering professional development, networking, and knowledge exchange on regional priorities. Under the theme </w:t>
      </w:r>
      <w:proofErr w:type="gramStart"/>
      <w:r w:rsidRPr="007601D4">
        <w:rPr>
          <w:rFonts w:cs="Times New Roman"/>
          <w:i/>
          <w:iCs/>
          <w:szCs w:val="24"/>
        </w:rPr>
        <w:t>South East</w:t>
      </w:r>
      <w:proofErr w:type="gramEnd"/>
      <w:r w:rsidRPr="007601D4">
        <w:rPr>
          <w:rFonts w:cs="Times New Roman"/>
          <w:i/>
          <w:iCs/>
          <w:szCs w:val="24"/>
        </w:rPr>
        <w:t xml:space="preserve"> Europe and the Black Sea Region: Bridging Regional Priorities with Global Realities,</w:t>
      </w:r>
      <w:r w:rsidRPr="007601D4">
        <w:rPr>
          <w:rFonts w:cs="Times New Roman"/>
          <w:szCs w:val="24"/>
        </w:rPr>
        <w:t xml:space="preserve"> the forum provided intensive training on diplomacy, security, geopolitics, and RCC-led efforts like the SEE2030 Strategy and </w:t>
      </w:r>
      <w:proofErr w:type="spellStart"/>
      <w:r w:rsidRPr="007601D4">
        <w:rPr>
          <w:rFonts w:cs="Times New Roman"/>
          <w:szCs w:val="24"/>
        </w:rPr>
        <w:t>SecuriMeter</w:t>
      </w:r>
      <w:proofErr w:type="spellEnd"/>
      <w:r w:rsidRPr="007601D4">
        <w:rPr>
          <w:rFonts w:cs="Times New Roman"/>
          <w:szCs w:val="24"/>
        </w:rPr>
        <w:t>. Outcomes enhanced diplomatic capacity and reinforced RCC's role in SEECP priorities for regional stability and EU convergence.</w:t>
      </w:r>
    </w:p>
    <w:p w14:paraId="5EF4D070" w14:textId="70F0B5ED" w:rsidR="00D70DB7" w:rsidRPr="007601D4" w:rsidRDefault="00D70DB7" w:rsidP="00D13F1A">
      <w:pPr>
        <w:spacing w:line="360" w:lineRule="auto"/>
        <w:rPr>
          <w:rFonts w:cs="Times New Roman"/>
          <w:szCs w:val="24"/>
        </w:rPr>
      </w:pPr>
      <w:r w:rsidRPr="007601D4">
        <w:rPr>
          <w:rFonts w:cs="Times New Roman"/>
          <w:szCs w:val="24"/>
        </w:rPr>
        <w:lastRenderedPageBreak/>
        <w:t xml:space="preserve">At the </w:t>
      </w:r>
      <w:r w:rsidRPr="007601D4">
        <w:rPr>
          <w:rFonts w:cs="Times New Roman"/>
          <w:b/>
          <w:bCs/>
          <w:szCs w:val="24"/>
        </w:rPr>
        <w:t>3rd SEECP Political Directors</w:t>
      </w:r>
      <w:r w:rsidRPr="007601D4">
        <w:rPr>
          <w:rFonts w:cs="Times New Roman"/>
          <w:szCs w:val="24"/>
        </w:rPr>
        <w:t xml:space="preserve"> under Sofia </w:t>
      </w:r>
      <w:proofErr w:type="spellStart"/>
      <w:r w:rsidRPr="007601D4">
        <w:rPr>
          <w:rFonts w:cs="Times New Roman"/>
          <w:szCs w:val="24"/>
        </w:rPr>
        <w:t>CiO</w:t>
      </w:r>
      <w:proofErr w:type="spellEnd"/>
      <w:r w:rsidRPr="007601D4">
        <w:rPr>
          <w:rFonts w:cs="Times New Roman"/>
          <w:szCs w:val="24"/>
        </w:rPr>
        <w:t xml:space="preserve"> on 8 April RCC’s Deputy Secretary General Umut Ergezer presented the forward-looking programming priorities in line with the RCC SWP. RCC participated in the </w:t>
      </w:r>
      <w:r w:rsidRPr="007601D4">
        <w:rPr>
          <w:rFonts w:cs="Times New Roman"/>
          <w:b/>
          <w:bCs/>
          <w:szCs w:val="24"/>
        </w:rPr>
        <w:t>4th SEECP Political Director’s</w:t>
      </w:r>
      <w:r w:rsidRPr="007601D4">
        <w:rPr>
          <w:rFonts w:cs="Times New Roman"/>
          <w:szCs w:val="24"/>
        </w:rPr>
        <w:t xml:space="preserve"> meeting on 11 and 12 May 2026 dedicated to finalising the Sofia SEECP Summit Declaration.</w:t>
      </w:r>
    </w:p>
    <w:p w14:paraId="70ED440F" w14:textId="36BD5A1F" w:rsidR="00D70DB7" w:rsidRPr="007601D4" w:rsidRDefault="00323E8A" w:rsidP="00D13F1A">
      <w:pPr>
        <w:spacing w:line="360" w:lineRule="auto"/>
        <w:rPr>
          <w:rFonts w:cs="Times New Roman"/>
          <w:szCs w:val="24"/>
        </w:rPr>
      </w:pPr>
      <w:r w:rsidRPr="007601D4">
        <w:rPr>
          <w:rFonts w:cs="Times New Roman"/>
          <w:szCs w:val="24"/>
        </w:rPr>
        <w:t>On 10 March 2025</w:t>
      </w:r>
      <w:r w:rsidR="00264A83">
        <w:rPr>
          <w:rFonts w:cs="Times New Roman"/>
          <w:szCs w:val="24"/>
        </w:rPr>
        <w:t>,</w:t>
      </w:r>
      <w:r w:rsidRPr="007601D4">
        <w:rPr>
          <w:rFonts w:cs="Times New Roman"/>
          <w:szCs w:val="24"/>
        </w:rPr>
        <w:t xml:space="preserve"> the </w:t>
      </w:r>
      <w:r w:rsidR="00D70DB7" w:rsidRPr="007601D4">
        <w:rPr>
          <w:rFonts w:cs="Times New Roman"/>
          <w:szCs w:val="24"/>
        </w:rPr>
        <w:t xml:space="preserve">RCC SG </w:t>
      </w:r>
      <w:r w:rsidR="00A5247E" w:rsidRPr="007601D4">
        <w:rPr>
          <w:rFonts w:cs="Times New Roman"/>
          <w:szCs w:val="24"/>
        </w:rPr>
        <w:t xml:space="preserve">took part </w:t>
      </w:r>
      <w:r w:rsidR="0067045A">
        <w:rPr>
          <w:rFonts w:cs="Times New Roman"/>
          <w:szCs w:val="24"/>
        </w:rPr>
        <w:t>in</w:t>
      </w:r>
      <w:r w:rsidR="00A5247E" w:rsidRPr="007601D4">
        <w:rPr>
          <w:rFonts w:cs="Times New Roman"/>
          <w:szCs w:val="24"/>
        </w:rPr>
        <w:t xml:space="preserve"> </w:t>
      </w:r>
      <w:r w:rsidR="00D70DB7" w:rsidRPr="007601D4">
        <w:rPr>
          <w:rFonts w:cs="Times New Roman"/>
          <w:szCs w:val="24"/>
        </w:rPr>
        <w:t xml:space="preserve">the </w:t>
      </w:r>
      <w:r w:rsidR="00D70DB7" w:rsidRPr="007601D4">
        <w:rPr>
          <w:rFonts w:cs="Times New Roman"/>
          <w:b/>
          <w:bCs/>
          <w:szCs w:val="24"/>
        </w:rPr>
        <w:t>Budapest Balkans Forum 2026</w:t>
      </w:r>
      <w:r w:rsidR="00D70DB7" w:rsidRPr="007601D4">
        <w:rPr>
          <w:rFonts w:cs="Times New Roman"/>
          <w:szCs w:val="24"/>
        </w:rPr>
        <w:t>, where he joined a high-level panel discussion on strengthening regional stability through strategic connectivity, and held a series of bilateral meetings with senior officials and policy leaders</w:t>
      </w:r>
      <w:r w:rsidR="009F3635" w:rsidRPr="007601D4">
        <w:rPr>
          <w:rFonts w:cs="Times New Roman"/>
          <w:szCs w:val="24"/>
        </w:rPr>
        <w:t xml:space="preserve"> of Hungary</w:t>
      </w:r>
      <w:r w:rsidR="00D70DB7" w:rsidRPr="007601D4">
        <w:rPr>
          <w:rFonts w:cs="Times New Roman"/>
          <w:szCs w:val="24"/>
        </w:rPr>
        <w:t>. Kapetanović took part in the panel discussion titled “</w:t>
      </w:r>
      <w:r w:rsidR="00D70DB7" w:rsidRPr="007601D4">
        <w:rPr>
          <w:rFonts w:cs="Times New Roman"/>
          <w:i/>
          <w:iCs/>
          <w:szCs w:val="24"/>
        </w:rPr>
        <w:t>Building a Stable and Secure Region through Strategic Connectivity</w:t>
      </w:r>
      <w:r w:rsidR="00D70DB7" w:rsidRPr="007601D4">
        <w:rPr>
          <w:rFonts w:cs="Times New Roman"/>
          <w:szCs w:val="24"/>
        </w:rPr>
        <w:t>”</w:t>
      </w:r>
      <w:r w:rsidR="00B616BF">
        <w:rPr>
          <w:rFonts w:cs="Times New Roman"/>
          <w:szCs w:val="24"/>
        </w:rPr>
        <w:t>,</w:t>
      </w:r>
      <w:r w:rsidR="00D70DB7" w:rsidRPr="007601D4">
        <w:rPr>
          <w:rFonts w:cs="Times New Roman"/>
          <w:szCs w:val="24"/>
        </w:rPr>
        <w:t xml:space="preserve"> which gathered senior officials and experts to discuss the role of infrastructure, energy cooperation and broader policy alignment in strengthening regional resilience and advancing European integration in </w:t>
      </w:r>
      <w:proofErr w:type="gramStart"/>
      <w:r w:rsidR="00D70DB7" w:rsidRPr="007601D4">
        <w:rPr>
          <w:rFonts w:cs="Times New Roman"/>
          <w:szCs w:val="24"/>
        </w:rPr>
        <w:t>South East</w:t>
      </w:r>
      <w:proofErr w:type="gramEnd"/>
      <w:r w:rsidR="00D70DB7" w:rsidRPr="007601D4">
        <w:rPr>
          <w:rFonts w:cs="Times New Roman"/>
          <w:szCs w:val="24"/>
        </w:rPr>
        <w:t xml:space="preserve"> Europe.</w:t>
      </w:r>
    </w:p>
    <w:p w14:paraId="5958D874" w14:textId="19372B1C" w:rsidR="00D70DB7" w:rsidRPr="007601D4" w:rsidRDefault="00D70DB7" w:rsidP="00D13F1A">
      <w:pPr>
        <w:spacing w:line="360" w:lineRule="auto"/>
      </w:pPr>
      <w:r w:rsidRPr="007601D4">
        <w:rPr>
          <w:rFonts w:cs="Times New Roman"/>
          <w:b/>
          <w:bCs/>
          <w:szCs w:val="24"/>
        </w:rPr>
        <w:t>RCC Secretary General Amer Kapetanovi</w:t>
      </w:r>
      <w:r w:rsidR="00077B18" w:rsidRPr="007601D4">
        <w:rPr>
          <w:rFonts w:cs="Times New Roman"/>
          <w:b/>
          <w:bCs/>
          <w:szCs w:val="24"/>
        </w:rPr>
        <w:t>ć</w:t>
      </w:r>
      <w:r w:rsidRPr="007601D4">
        <w:rPr>
          <w:rFonts w:cs="Times New Roman"/>
          <w:szCs w:val="24"/>
        </w:rPr>
        <w:t xml:space="preserve"> moderated the high-level panel discussion “Harvesting Peace in the Balkans: Dialogue, Business, and Connectivity” at the fifth </w:t>
      </w:r>
      <w:r w:rsidRPr="007601D4">
        <w:rPr>
          <w:rFonts w:cs="Times New Roman"/>
          <w:b/>
          <w:bCs/>
          <w:szCs w:val="24"/>
        </w:rPr>
        <w:t>Antalya Diplomacy Forum</w:t>
      </w:r>
      <w:r w:rsidRPr="007601D4">
        <w:rPr>
          <w:rFonts w:cs="Times New Roman"/>
          <w:szCs w:val="24"/>
        </w:rPr>
        <w:t xml:space="preserve"> on 18 April 2026. </w:t>
      </w:r>
      <w:r w:rsidRPr="007601D4">
        <w:t xml:space="preserve">While attending the Antalya Diplomacy Forum, </w:t>
      </w:r>
      <w:r w:rsidRPr="007601D4">
        <w:rPr>
          <w:b/>
          <w:bCs/>
        </w:rPr>
        <w:t>Secretary General Kapetanović</w:t>
      </w:r>
      <w:r w:rsidRPr="007601D4">
        <w:t xml:space="preserve"> held bilateral meetings with the Minister for Europe and Foreign Affairs of Albania, </w:t>
      </w:r>
      <w:r w:rsidRPr="007601D4">
        <w:rPr>
          <w:b/>
          <w:bCs/>
        </w:rPr>
        <w:t>Ferit Hoxha</w:t>
      </w:r>
      <w:r w:rsidRPr="007601D4">
        <w:t>; Minister of Foreign Affairs of Serbia, </w:t>
      </w:r>
      <w:r w:rsidRPr="007601D4">
        <w:rPr>
          <w:b/>
          <w:bCs/>
        </w:rPr>
        <w:t>Marko Đurić</w:t>
      </w:r>
      <w:r w:rsidRPr="007601D4">
        <w:t>; Deputy Managing Director for Western Europe at the European External Action Service, </w:t>
      </w:r>
      <w:r w:rsidRPr="007601D4">
        <w:rPr>
          <w:b/>
          <w:bCs/>
        </w:rPr>
        <w:t>Emanuele Giaufret</w:t>
      </w:r>
      <w:r w:rsidR="00363DAE">
        <w:t>;</w:t>
      </w:r>
      <w:r w:rsidR="002D65A3" w:rsidRPr="007601D4">
        <w:rPr>
          <w:b/>
          <w:bCs/>
        </w:rPr>
        <w:t xml:space="preserve"> </w:t>
      </w:r>
      <w:r w:rsidR="002D65A3" w:rsidRPr="00B12B3A">
        <w:t>and</w:t>
      </w:r>
      <w:r w:rsidR="002D65A3" w:rsidRPr="007601D4">
        <w:rPr>
          <w:b/>
          <w:bCs/>
        </w:rPr>
        <w:t xml:space="preserve"> Deputy Minister of Foreign Affairs of Türkiye, Mehmet Kemal Bozay</w:t>
      </w:r>
      <w:r w:rsidRPr="007601D4">
        <w:t xml:space="preserve">. The meetings focused on regional cooperation, current challenges, and the importance of maintaining dialogue and advancing common regional agendas. </w:t>
      </w:r>
    </w:p>
    <w:p w14:paraId="76B2827E" w14:textId="01F46FEF" w:rsidR="00251869" w:rsidRPr="007601D4" w:rsidRDefault="00D70DB7" w:rsidP="00D13F1A">
      <w:pPr>
        <w:spacing w:line="360" w:lineRule="auto"/>
        <w:rPr>
          <w:rFonts w:eastAsia="Calibri" w:cs="Times New Roman"/>
          <w:szCs w:val="24"/>
        </w:rPr>
      </w:pPr>
      <w:r w:rsidRPr="007601D4">
        <w:rPr>
          <w:rFonts w:eastAsia="Calibri" w:cs="Times New Roman"/>
          <w:szCs w:val="24"/>
        </w:rPr>
        <w:t>Throughout these activities, the RCC maintained its inclusive, evidence-based, and strategic approach, bridging diplomatic consultations with operational platforms and reinforcing the region’s collective security alongside ambitions of a greener, more digitally integrated future.</w:t>
      </w:r>
    </w:p>
    <w:p w14:paraId="3C9EEE9B" w14:textId="06A89229" w:rsidR="008536A1" w:rsidRPr="007601D4" w:rsidRDefault="008536A1" w:rsidP="0004382C">
      <w:pPr>
        <w:pStyle w:val="Heading2"/>
        <w:spacing w:line="360" w:lineRule="auto"/>
      </w:pPr>
      <w:bookmarkStart w:id="37" w:name="_Toc228451790"/>
      <w:r w:rsidRPr="007601D4">
        <w:t>B2. SEE2030 Strategy</w:t>
      </w:r>
      <w:bookmarkEnd w:id="37"/>
      <w:r w:rsidRPr="007601D4">
        <w:tab/>
      </w:r>
    </w:p>
    <w:p w14:paraId="3E16802D" w14:textId="5810AA86" w:rsidR="00EC176E" w:rsidRPr="007601D4" w:rsidRDefault="00150285" w:rsidP="00D13F1A">
      <w:pPr>
        <w:spacing w:line="360" w:lineRule="auto"/>
        <w:rPr>
          <w:rFonts w:eastAsia="Calibri" w:cs="Times New Roman"/>
          <w:szCs w:val="24"/>
        </w:rPr>
      </w:pPr>
      <w:r w:rsidRPr="00A8190B">
        <w:rPr>
          <w:rFonts w:eastAsia="Calibri" w:cs="Times New Roman"/>
          <w:szCs w:val="24"/>
        </w:rPr>
        <w:t>The RCC supported the</w:t>
      </w:r>
      <w:r w:rsidRPr="007601D4">
        <w:rPr>
          <w:rFonts w:eastAsia="Calibri" w:cs="Times New Roman"/>
          <w:szCs w:val="24"/>
        </w:rPr>
        <w:t xml:space="preserve"> Students’ Peace Declaration signed in Sarajevo in September 2025, a regional initiative involving over 100 universities. This action highlights RCC's commitment to fostering youth participation and dialogue in </w:t>
      </w:r>
      <w:proofErr w:type="gramStart"/>
      <w:r w:rsidRPr="007601D4">
        <w:rPr>
          <w:rFonts w:eastAsia="Calibri" w:cs="Times New Roman"/>
          <w:szCs w:val="24"/>
        </w:rPr>
        <w:t>South East</w:t>
      </w:r>
      <w:proofErr w:type="gramEnd"/>
      <w:r w:rsidRPr="007601D4">
        <w:rPr>
          <w:rFonts w:eastAsia="Calibri" w:cs="Times New Roman"/>
          <w:szCs w:val="24"/>
        </w:rPr>
        <w:t xml:space="preserve"> Europe, in line with the broader objectives of stability, cooperation, and inclusive development set out in the </w:t>
      </w:r>
      <w:hyperlink r:id="rId85" w:history="1">
        <w:r w:rsidRPr="007601D4">
          <w:rPr>
            <w:rStyle w:val="Hyperlink"/>
            <w:rFonts w:eastAsia="Calibri" w:cs="Times New Roman"/>
            <w:b/>
            <w:bCs/>
            <w:szCs w:val="24"/>
          </w:rPr>
          <w:t>SEE2030</w:t>
        </w:r>
      </w:hyperlink>
      <w:r w:rsidRPr="007601D4">
        <w:rPr>
          <w:rFonts w:eastAsia="Calibri" w:cs="Times New Roman"/>
          <w:b/>
          <w:bCs/>
          <w:szCs w:val="24"/>
        </w:rPr>
        <w:t xml:space="preserve"> </w:t>
      </w:r>
      <w:r w:rsidRPr="007601D4">
        <w:rPr>
          <w:rFonts w:eastAsia="Calibri" w:cs="Times New Roman"/>
          <w:szCs w:val="24"/>
        </w:rPr>
        <w:t>Strategy.</w:t>
      </w:r>
    </w:p>
    <w:p w14:paraId="6102F4F3" w14:textId="1A2357C2" w:rsidR="00865512" w:rsidRPr="007601D4" w:rsidRDefault="00150285" w:rsidP="00D13F1A">
      <w:pPr>
        <w:spacing w:line="360" w:lineRule="auto"/>
      </w:pPr>
      <w:r w:rsidRPr="007601D4">
        <w:lastRenderedPageBreak/>
        <w:t xml:space="preserve">In partnership with the Regional Studies Association, RCC hosted the first edition of the </w:t>
      </w:r>
      <w:hyperlink r:id="rId86" w:history="1">
        <w:r w:rsidRPr="007601D4">
          <w:rPr>
            <w:rStyle w:val="Hyperlink"/>
            <w:rFonts w:cs="Times New Roman"/>
            <w:b/>
            <w:szCs w:val="24"/>
          </w:rPr>
          <w:t>Beyond GDP Conference</w:t>
        </w:r>
      </w:hyperlink>
      <w:r w:rsidRPr="007601D4">
        <w:t xml:space="preserve"> on 3-4 November 2025 in Sarajevo, convening leading academics, experts, and policymakers to advance evidence-based metrics for inclusive growth beyond traditional GDP indicators. Key outcomes included a keynote by Prof. Lorenzo Fioramonti, presentations of 12 top-ranked papers from 50 submissions across three continents, and discussions on green transitions and the SEE Inclusive Growth Index (SEE IGI), yielding recommendations to inform SEE2030 Strategy updates and regional policymaking</w:t>
      </w:r>
      <w:r w:rsidR="00865512" w:rsidRPr="007601D4">
        <w:t>.</w:t>
      </w:r>
    </w:p>
    <w:p w14:paraId="048E1BFA" w14:textId="1DDC0ACB" w:rsidR="00A96E57" w:rsidRPr="007601D4" w:rsidRDefault="00150285" w:rsidP="00D13F1A">
      <w:pPr>
        <w:spacing w:line="360" w:lineRule="auto"/>
      </w:pPr>
      <w:r w:rsidRPr="007601D4">
        <w:t xml:space="preserve">The RCC chaired the fourth meeting of the </w:t>
      </w:r>
      <w:proofErr w:type="gramStart"/>
      <w:r w:rsidRPr="007601D4">
        <w:rPr>
          <w:b/>
        </w:rPr>
        <w:t>South East</w:t>
      </w:r>
      <w:proofErr w:type="gramEnd"/>
      <w:r w:rsidRPr="007601D4">
        <w:rPr>
          <w:b/>
        </w:rPr>
        <w:t xml:space="preserve"> Europe Statistical Network (SSN)</w:t>
      </w:r>
      <w:r w:rsidRPr="007601D4">
        <w:t xml:space="preserve"> on 5 November 2025 in Sarajevo, presenting the latest draft of the SEE IGI for technical review. RCC facilitated discussions on methodological refinements, comparative visuali</w:t>
      </w:r>
      <w:r w:rsidR="007601D4" w:rsidRPr="007601D4">
        <w:t>s</w:t>
      </w:r>
      <w:r w:rsidRPr="007601D4">
        <w:t>ation models, and sensitivity analyses, integrating feedback from statistical authorities. Outcomes included a call for written inputs to inform SEE2030 Strategy Monitoring Committee endorsement in April 2026 and SEECP Summit presentation in June 2026.</w:t>
      </w:r>
    </w:p>
    <w:p w14:paraId="6524D3F8" w14:textId="1D96CC17" w:rsidR="002A5596" w:rsidRPr="007601D4" w:rsidRDefault="00150285" w:rsidP="00D13F1A">
      <w:pPr>
        <w:spacing w:line="360" w:lineRule="auto"/>
        <w:rPr>
          <w:rFonts w:cs="Times New Roman"/>
          <w:szCs w:val="24"/>
        </w:rPr>
      </w:pPr>
      <w:r w:rsidRPr="007601D4">
        <w:rPr>
          <w:rFonts w:cs="Times New Roman"/>
          <w:b/>
          <w:bCs/>
          <w:szCs w:val="24"/>
        </w:rPr>
        <w:t xml:space="preserve">The Mid-term Update of the SEE2030 Strategy, titled </w:t>
      </w:r>
      <w:r w:rsidRPr="007601D4">
        <w:rPr>
          <w:rFonts w:cs="Times New Roman"/>
          <w:b/>
          <w:bCs/>
          <w:i/>
          <w:iCs/>
          <w:szCs w:val="24"/>
        </w:rPr>
        <w:t>“Turning Commitment into Change”</w:t>
      </w:r>
      <w:r w:rsidRPr="008555B0">
        <w:rPr>
          <w:rFonts w:cs="Times New Roman"/>
          <w:szCs w:val="24"/>
        </w:rPr>
        <w:t>,</w:t>
      </w:r>
      <w:r w:rsidRPr="007601D4">
        <w:rPr>
          <w:rFonts w:cs="Times New Roman"/>
          <w:szCs w:val="24"/>
        </w:rPr>
        <w:t xml:space="preserve"> has been completed (subject of endorsement by the leaders </w:t>
      </w:r>
      <w:r w:rsidR="00E8760E">
        <w:rPr>
          <w:rFonts w:cs="Times New Roman"/>
          <w:szCs w:val="24"/>
        </w:rPr>
        <w:t>at</w:t>
      </w:r>
      <w:r w:rsidRPr="007601D4">
        <w:rPr>
          <w:rFonts w:cs="Times New Roman"/>
          <w:szCs w:val="24"/>
        </w:rPr>
        <w:t xml:space="preserve"> the SEECP Summit in June), following a comprehensive consultation process and contributions from the SEECP participants. The updated Strategy is designed to respond to overlapping pressures facing the region, from climate change, demographic decline and brain drain, to public health and disaster risks, financing gaps, and evolving security threats. It aims to provide practical policy instruments, sustainable financing models, and effective implementation mechanisms capable of delivering tangible and politically supported results. Three core themes anchor the updated Strategy: resilience, inclusive growth, and regional cooperation. These pillars were identified through a year-long process of consultation and reflection, drawing on stakeholder input, monitoring reports, and emerging data such as the SEE Inclusive Growth Index. </w:t>
      </w:r>
      <w:bookmarkStart w:id="38" w:name="_Hlk222475606"/>
    </w:p>
    <w:p w14:paraId="151EF096" w14:textId="1CD6959C" w:rsidR="00620949" w:rsidRPr="007601D4" w:rsidRDefault="00150285" w:rsidP="00D13F1A">
      <w:pPr>
        <w:spacing w:line="360" w:lineRule="auto"/>
        <w:rPr>
          <w:rFonts w:cs="Times New Roman"/>
          <w:szCs w:val="24"/>
        </w:rPr>
      </w:pPr>
      <w:r w:rsidRPr="007601D4">
        <w:rPr>
          <w:rFonts w:cs="Times New Roman"/>
          <w:b/>
          <w:bCs/>
          <w:szCs w:val="24"/>
        </w:rPr>
        <w:t xml:space="preserve">The SEE2030 Strategy Mid-term Implementation Report, </w:t>
      </w:r>
      <w:r w:rsidRPr="007601D4">
        <w:rPr>
          <w:rFonts w:cs="Times New Roman"/>
          <w:b/>
          <w:bCs/>
          <w:i/>
          <w:iCs/>
          <w:szCs w:val="24"/>
        </w:rPr>
        <w:t>State of Play in 2025</w:t>
      </w:r>
      <w:r w:rsidRPr="007601D4">
        <w:rPr>
          <w:rFonts w:cs="Times New Roman"/>
          <w:b/>
          <w:bCs/>
          <w:szCs w:val="24"/>
        </w:rPr>
        <w:t>,</w:t>
      </w:r>
      <w:r w:rsidRPr="007601D4">
        <w:rPr>
          <w:rFonts w:cs="Times New Roman"/>
          <w:szCs w:val="24"/>
        </w:rPr>
        <w:t xml:space="preserve"> has been completed in consultation with all SEECP participants. This Report assess</w:t>
      </w:r>
      <w:r w:rsidR="00612D58">
        <w:rPr>
          <w:rFonts w:cs="Times New Roman"/>
          <w:szCs w:val="24"/>
        </w:rPr>
        <w:t>e</w:t>
      </w:r>
      <w:r w:rsidR="00CB044C">
        <w:rPr>
          <w:rFonts w:cs="Times New Roman"/>
          <w:szCs w:val="24"/>
        </w:rPr>
        <w:t>s</w:t>
      </w:r>
      <w:r w:rsidRPr="007601D4">
        <w:rPr>
          <w:rFonts w:cs="Times New Roman"/>
          <w:szCs w:val="24"/>
        </w:rPr>
        <w:t xml:space="preserve"> progress of the mid-term findings, highlighting the key achievements, challenges and lessons learned in Strategy’s implementation since its adoption in 2021 at the SEECP Summit in Antalya. It analyses key trends across economic, social and environmental indicators and evaluates the impacts of global shocks on the regional performance. The Mid-term Implementation Report includes a dedicated chapter analysing progress against the SEE2030 Strategy indicators across </w:t>
      </w:r>
      <w:r w:rsidRPr="007601D4">
        <w:rPr>
          <w:rFonts w:cs="Times New Roman"/>
          <w:szCs w:val="24"/>
        </w:rPr>
        <w:lastRenderedPageBreak/>
        <w:t>its pillars and dimensions. This chapter provides an evidence-based assessment of trends, highlighting areas of advancement as well as remaining gaps in achieving the Strategy’s targets.</w:t>
      </w:r>
      <w:r w:rsidR="00620949" w:rsidRPr="007601D4">
        <w:rPr>
          <w:rFonts w:cs="Times New Roman"/>
          <w:szCs w:val="24"/>
        </w:rPr>
        <w:t xml:space="preserve"> </w:t>
      </w:r>
    </w:p>
    <w:p w14:paraId="39C5BC68" w14:textId="7D36527C" w:rsidR="00FE185C" w:rsidRPr="007601D4" w:rsidRDefault="00150285" w:rsidP="00D13F1A">
      <w:pPr>
        <w:spacing w:line="360" w:lineRule="auto"/>
        <w:rPr>
          <w:rFonts w:cs="Times New Roman"/>
          <w:szCs w:val="24"/>
        </w:rPr>
      </w:pPr>
      <w:r w:rsidRPr="00631DEA">
        <w:rPr>
          <w:rFonts w:cs="Times New Roman"/>
          <w:szCs w:val="24"/>
        </w:rPr>
        <w:t>During the reporting period</w:t>
      </w:r>
      <w:r w:rsidRPr="007601D4">
        <w:rPr>
          <w:rFonts w:cs="Times New Roman"/>
          <w:szCs w:val="24"/>
        </w:rPr>
        <w:t xml:space="preserve">, </w:t>
      </w:r>
      <w:r w:rsidRPr="007601D4">
        <w:rPr>
          <w:rFonts w:cs="Times New Roman"/>
          <w:b/>
          <w:bCs/>
          <w:szCs w:val="24"/>
        </w:rPr>
        <w:t>the SEE Inclusive Growth Index (IGI) Report</w:t>
      </w:r>
      <w:r w:rsidRPr="007601D4">
        <w:rPr>
          <w:rFonts w:cs="Times New Roman"/>
          <w:szCs w:val="24"/>
        </w:rPr>
        <w:t xml:space="preserve"> has also been completed in consultation with all SEECP participants. The purpose of this report is to summarise inclusive growth trends in the region of SEE by analysing the findings from IGI, which allows the comparison of inclusive growth trends and gaps between SEE and Western European economies. The development of IGI applied a mixed-methods research approach, including desk research and a literature review on the multidimensional concept of inclusive growth </w:t>
      </w:r>
      <w:r w:rsidR="00152F4E" w:rsidRPr="007601D4">
        <w:rPr>
          <w:rFonts w:cs="Times New Roman"/>
          <w:szCs w:val="24"/>
        </w:rPr>
        <w:t>to</w:t>
      </w:r>
      <w:r w:rsidRPr="007601D4">
        <w:rPr>
          <w:rFonts w:cs="Times New Roman"/>
          <w:szCs w:val="24"/>
        </w:rPr>
        <w:t xml:space="preserve"> determine the relevant components, drivers, and their inter-relationships. The construction of the IGI follows internationally established methodological practices and guidelines, with robustness tests implemented through various statistical methods and sensitivities to the methodological choices. This report presents the results of the IGI across regions and by pillars and dimensions and over time. The results should provide evidence to policymakers aiming to achieve progress in terms of inclusive growth.</w:t>
      </w:r>
      <w:r w:rsidR="00C4566E" w:rsidRPr="007601D4">
        <w:rPr>
          <w:rFonts w:cs="Times New Roman"/>
          <w:szCs w:val="24"/>
        </w:rPr>
        <w:t xml:space="preserve"> </w:t>
      </w:r>
      <w:r w:rsidRPr="007601D4">
        <w:rPr>
          <w:rFonts w:cs="Times New Roman"/>
          <w:szCs w:val="24"/>
        </w:rPr>
        <w:t>Throughout the reporting period</w:t>
      </w:r>
      <w:r w:rsidR="009E1537">
        <w:rPr>
          <w:rFonts w:cs="Times New Roman"/>
          <w:szCs w:val="24"/>
        </w:rPr>
        <w:t>,</w:t>
      </w:r>
      <w:r w:rsidRPr="007601D4">
        <w:rPr>
          <w:rFonts w:cs="Times New Roman"/>
          <w:szCs w:val="24"/>
        </w:rPr>
        <w:t xml:space="preserve"> </w:t>
      </w:r>
      <w:r w:rsidR="00B81386" w:rsidRPr="007601D4">
        <w:rPr>
          <w:rFonts w:cs="Times New Roman"/>
          <w:szCs w:val="24"/>
        </w:rPr>
        <w:t>t</w:t>
      </w:r>
      <w:r w:rsidRPr="007601D4">
        <w:rPr>
          <w:rFonts w:cs="Times New Roman"/>
          <w:szCs w:val="24"/>
        </w:rPr>
        <w:t xml:space="preserve">he RCC continued its facilitation and coordination efforts </w:t>
      </w:r>
      <w:r w:rsidR="00B61059">
        <w:rPr>
          <w:rFonts w:cs="Times New Roman"/>
          <w:szCs w:val="24"/>
        </w:rPr>
        <w:t>involving</w:t>
      </w:r>
      <w:r w:rsidRPr="007601D4">
        <w:rPr>
          <w:rFonts w:cs="Times New Roman"/>
          <w:szCs w:val="24"/>
        </w:rPr>
        <w:t xml:space="preserve"> the Health Ministries </w:t>
      </w:r>
      <w:r w:rsidR="00B61059">
        <w:rPr>
          <w:rFonts w:cs="Times New Roman"/>
          <w:szCs w:val="24"/>
        </w:rPr>
        <w:t>of</w:t>
      </w:r>
      <w:r w:rsidRPr="007601D4">
        <w:rPr>
          <w:rFonts w:cs="Times New Roman"/>
          <w:szCs w:val="24"/>
        </w:rPr>
        <w:t xml:space="preserve"> Türkiye and North Macedonia </w:t>
      </w:r>
      <w:r w:rsidR="00B61059">
        <w:rPr>
          <w:rFonts w:cs="Times New Roman"/>
          <w:szCs w:val="24"/>
        </w:rPr>
        <w:t>regarding</w:t>
      </w:r>
      <w:r w:rsidRPr="007601D4">
        <w:rPr>
          <w:rFonts w:cs="Times New Roman"/>
          <w:szCs w:val="24"/>
        </w:rPr>
        <w:t xml:space="preserve"> the training to be organi</w:t>
      </w:r>
      <w:r w:rsidR="007601D4">
        <w:rPr>
          <w:rFonts w:cs="Times New Roman"/>
          <w:szCs w:val="24"/>
        </w:rPr>
        <w:t>s</w:t>
      </w:r>
      <w:r w:rsidRPr="007601D4">
        <w:rPr>
          <w:rFonts w:cs="Times New Roman"/>
          <w:szCs w:val="24"/>
        </w:rPr>
        <w:t xml:space="preserve">ed in the context of the SEE2030 Strategy. This training is in line with </w:t>
      </w:r>
      <w:r w:rsidRPr="007601D4">
        <w:rPr>
          <w:rFonts w:cs="Times New Roman"/>
          <w:b/>
          <w:bCs/>
          <w:szCs w:val="24"/>
        </w:rPr>
        <w:t>North Macedonia’s project proposal submitted to the SEE2030 Strategy Programming Cycle</w:t>
      </w:r>
      <w:r w:rsidRPr="007601D4">
        <w:rPr>
          <w:rFonts w:cs="Times New Roman"/>
          <w:szCs w:val="24"/>
        </w:rPr>
        <w:t xml:space="preserve"> and the readiness of Ankara to provide regional training on brain cancer treatment protocols. This regional training will be held in Skopje, following a bilateral training and on-site implementation in Ankara agreed between Türkiye and North Macedonia.  </w:t>
      </w:r>
      <w:bookmarkEnd w:id="38"/>
    </w:p>
    <w:p w14:paraId="2284F5DE" w14:textId="4667D663" w:rsidR="00EC7E39" w:rsidRPr="007601D4" w:rsidRDefault="00150285" w:rsidP="00D13F1A">
      <w:pPr>
        <w:spacing w:line="360" w:lineRule="auto"/>
        <w:rPr>
          <w:rFonts w:cs="Times New Roman"/>
          <w:szCs w:val="24"/>
        </w:rPr>
      </w:pPr>
      <w:r w:rsidRPr="007601D4">
        <w:rPr>
          <w:rFonts w:cs="Times New Roman"/>
          <w:szCs w:val="24"/>
        </w:rPr>
        <w:t>As a follow</w:t>
      </w:r>
      <w:r w:rsidR="000B37F9">
        <w:rPr>
          <w:rFonts w:cs="Times New Roman"/>
          <w:szCs w:val="24"/>
        </w:rPr>
        <w:t>-</w:t>
      </w:r>
      <w:r w:rsidRPr="007601D4">
        <w:rPr>
          <w:rFonts w:cs="Times New Roman"/>
          <w:szCs w:val="24"/>
        </w:rPr>
        <w:t xml:space="preserve">up to the establishment </w:t>
      </w:r>
      <w:r w:rsidR="000B37F9">
        <w:rPr>
          <w:rFonts w:cs="Times New Roman"/>
          <w:szCs w:val="24"/>
        </w:rPr>
        <w:t>of</w:t>
      </w:r>
      <w:r w:rsidRPr="007601D4">
        <w:rPr>
          <w:rFonts w:cs="Times New Roman"/>
          <w:szCs w:val="24"/>
        </w:rPr>
        <w:t xml:space="preserve"> the SEE Regional Network on Disaster Risk Insurance and Rik Sharing by the RCC Board, in cooperation with the Hellenic Association of Insurance Companies (HAIC), RCC organised the inaugural meeting of the </w:t>
      </w:r>
      <w:hyperlink r:id="rId87" w:history="1">
        <w:r w:rsidRPr="007601D4">
          <w:rPr>
            <w:rStyle w:val="Hyperlink"/>
            <w:rFonts w:cs="Times New Roman"/>
            <w:b/>
            <w:szCs w:val="24"/>
          </w:rPr>
          <w:t>SEE Regional Network on Disaster Risk Insurance and Risk Sharing</w:t>
        </w:r>
      </w:hyperlink>
      <w:r w:rsidRPr="007601D4">
        <w:rPr>
          <w:rFonts w:cs="Times New Roman"/>
          <w:szCs w:val="24"/>
        </w:rPr>
        <w:t>. The meeting was hosted by HAIC in Athens on 19 November 2025, with the Deputy Minister of Foreign Affairs of Greece attending the opening session and delivering remarks. The meeting gathered members of the Network</w:t>
      </w:r>
      <w:r w:rsidR="005029D0" w:rsidRPr="007601D4">
        <w:rPr>
          <w:rFonts w:cs="Times New Roman"/>
          <w:szCs w:val="24"/>
        </w:rPr>
        <w:t xml:space="preserve"> </w:t>
      </w:r>
      <w:r w:rsidR="00594D4F">
        <w:rPr>
          <w:rFonts w:cs="Times New Roman"/>
          <w:szCs w:val="24"/>
        </w:rPr>
        <w:t xml:space="preserve">and </w:t>
      </w:r>
      <w:r w:rsidRPr="007601D4">
        <w:rPr>
          <w:rFonts w:cs="Times New Roman"/>
          <w:szCs w:val="24"/>
        </w:rPr>
        <w:t xml:space="preserve">representatives from the insurance sector regulatory authorities and insurance associations of the SEECP participants. Guest organisations, including European Insurance and Occupational Pensions Authority (EIOPA), the World Bank, United Nations Development Programme (UNDP), Frankfurt School of Finance &amp; Management </w:t>
      </w:r>
      <w:proofErr w:type="spellStart"/>
      <w:r w:rsidRPr="007601D4">
        <w:rPr>
          <w:rFonts w:cs="Times New Roman"/>
          <w:szCs w:val="24"/>
        </w:rPr>
        <w:t>gGmbH</w:t>
      </w:r>
      <w:proofErr w:type="spellEnd"/>
      <w:r w:rsidRPr="007601D4">
        <w:rPr>
          <w:rFonts w:cs="Times New Roman"/>
          <w:szCs w:val="24"/>
        </w:rPr>
        <w:t xml:space="preserve">, Disaster Preparedness and </w:t>
      </w:r>
      <w:r w:rsidRPr="007601D4">
        <w:rPr>
          <w:rFonts w:cs="Times New Roman"/>
          <w:szCs w:val="24"/>
        </w:rPr>
        <w:lastRenderedPageBreak/>
        <w:t xml:space="preserve">Prevention Initiative for South Eastern Europe (DPPI SEE), and Caisse Centrale de Reassurance (CCR), presented global and European trends in disaster risk insurance and reinsurance, lessons from existing regional risk pools, and recommendations for strengthening financial preparedness across the region. </w:t>
      </w:r>
    </w:p>
    <w:p w14:paraId="008C47CD" w14:textId="18985C93" w:rsidR="00C550A2" w:rsidRPr="007601D4" w:rsidRDefault="00150285" w:rsidP="00D13F1A">
      <w:pPr>
        <w:spacing w:line="360" w:lineRule="auto"/>
        <w:rPr>
          <w:rFonts w:cs="Times New Roman"/>
          <w:szCs w:val="24"/>
        </w:rPr>
      </w:pPr>
      <w:r w:rsidRPr="007601D4">
        <w:rPr>
          <w:rFonts w:cs="Times New Roman"/>
          <w:szCs w:val="24"/>
        </w:rPr>
        <w:t xml:space="preserve">Building on the discussions and proposals presented by delegations in Athens, the RCC, together with the Network members, prepared a </w:t>
      </w:r>
      <w:r w:rsidRPr="007601D4">
        <w:rPr>
          <w:rFonts w:cs="Times New Roman"/>
          <w:b/>
          <w:bCs/>
          <w:szCs w:val="24"/>
        </w:rPr>
        <w:t>Project Synopsis outlining the initial operational activities of the Network structured around three pillars</w:t>
      </w:r>
      <w:r w:rsidRPr="007601D4">
        <w:rPr>
          <w:rFonts w:cs="Times New Roman"/>
          <w:szCs w:val="24"/>
        </w:rPr>
        <w:t xml:space="preserve">: Pillar I – Exploring Regional Solutions for Disaster Risk Insurance; Pillar II – Technical Assistance, Data, and Alignment with the EU; Pillar III – Knowledge Sharing, Experience Exchange, and Know-How Transfer. </w:t>
      </w:r>
      <w:r w:rsidRPr="007601D4">
        <w:rPr>
          <w:rFonts w:cs="Times New Roman"/>
          <w:b/>
          <w:bCs/>
          <w:szCs w:val="24"/>
        </w:rPr>
        <w:t xml:space="preserve">The Project Synopsis was approved by the RCC Board Decision at </w:t>
      </w:r>
      <w:r w:rsidR="0029370A">
        <w:rPr>
          <w:rFonts w:cs="Times New Roman"/>
          <w:b/>
          <w:bCs/>
          <w:szCs w:val="24"/>
        </w:rPr>
        <w:t>the</w:t>
      </w:r>
      <w:r w:rsidRPr="007601D4">
        <w:rPr>
          <w:rFonts w:cs="Times New Roman"/>
          <w:b/>
          <w:bCs/>
          <w:szCs w:val="24"/>
        </w:rPr>
        <w:t xml:space="preserve"> meeting held on 12 March 2026</w:t>
      </w:r>
      <w:r w:rsidRPr="007601D4">
        <w:rPr>
          <w:rFonts w:cs="Times New Roman"/>
          <w:szCs w:val="24"/>
        </w:rPr>
        <w:t>. With this Board Decision</w:t>
      </w:r>
      <w:r w:rsidR="00E93CBF">
        <w:rPr>
          <w:rFonts w:cs="Times New Roman"/>
          <w:szCs w:val="24"/>
        </w:rPr>
        <w:t>,</w:t>
      </w:r>
      <w:r w:rsidRPr="007601D4">
        <w:rPr>
          <w:rFonts w:cs="Times New Roman"/>
          <w:szCs w:val="24"/>
        </w:rPr>
        <w:t xml:space="preserve"> the RCC Secretariat has been mandated to undertake technical, analytical, and coordination activities related to the implementation of the approved Project Synopsis under the auspices of the SEE2030 Strategy Monitoring Committee and in consultation with the SEE Regional Network on Disaster Risk Insurance and Risk Sharing. </w:t>
      </w:r>
    </w:p>
    <w:p w14:paraId="011BF5CD" w14:textId="28242741" w:rsidR="00567B91" w:rsidRPr="007601D4" w:rsidRDefault="00150285" w:rsidP="00D13F1A">
      <w:pPr>
        <w:spacing w:line="360" w:lineRule="auto"/>
        <w:rPr>
          <w:rFonts w:cs="Times New Roman"/>
          <w:szCs w:val="24"/>
        </w:rPr>
      </w:pPr>
      <w:r w:rsidRPr="007601D4">
        <w:rPr>
          <w:rFonts w:cs="Times New Roman"/>
          <w:szCs w:val="24"/>
        </w:rPr>
        <w:t>The RCC has initiated activities under Pillar I (the necessary support towards launching a Feasibility Study exploring possible regional solutions</w:t>
      </w:r>
      <w:r w:rsidR="00C376AF" w:rsidRPr="007601D4">
        <w:rPr>
          <w:rFonts w:cs="Times New Roman"/>
          <w:szCs w:val="24"/>
        </w:rPr>
        <w:t>)</w:t>
      </w:r>
      <w:r w:rsidRPr="007601D4">
        <w:rPr>
          <w:rFonts w:cs="Times New Roman"/>
          <w:szCs w:val="24"/>
        </w:rPr>
        <w:t xml:space="preserve">, and Pillar II (Technical Assistance, Data, and Alignment with the EU). Initial meetings in this direction have been held </w:t>
      </w:r>
      <w:r w:rsidR="00650E62" w:rsidRPr="007601D4">
        <w:rPr>
          <w:rFonts w:cs="Times New Roman"/>
          <w:szCs w:val="24"/>
        </w:rPr>
        <w:t xml:space="preserve">in May 2026 </w:t>
      </w:r>
      <w:r w:rsidRPr="007601D4">
        <w:rPr>
          <w:rFonts w:cs="Times New Roman"/>
          <w:szCs w:val="24"/>
        </w:rPr>
        <w:t xml:space="preserve">with the </w:t>
      </w:r>
      <w:r w:rsidR="00A672B7" w:rsidRPr="007601D4">
        <w:rPr>
          <w:rFonts w:cs="Times New Roman"/>
          <w:szCs w:val="24"/>
        </w:rPr>
        <w:t>EC</w:t>
      </w:r>
      <w:r w:rsidRPr="007601D4">
        <w:rPr>
          <w:rFonts w:cs="Times New Roman"/>
          <w:szCs w:val="24"/>
        </w:rPr>
        <w:t>, the Frankfurt School of Finance and Management, the European Insurance an</w:t>
      </w:r>
      <w:r w:rsidR="001301E1">
        <w:rPr>
          <w:rFonts w:cs="Times New Roman"/>
          <w:szCs w:val="24"/>
        </w:rPr>
        <w:t>d</w:t>
      </w:r>
      <w:r w:rsidRPr="007601D4">
        <w:rPr>
          <w:rFonts w:cs="Times New Roman"/>
          <w:szCs w:val="24"/>
        </w:rPr>
        <w:t xml:space="preserve"> Occupational Pensions Authority (EIOPA), the European Investment Bank (EIB), the UNDP Regional Office, and the World Bank. </w:t>
      </w:r>
    </w:p>
    <w:p w14:paraId="309B8668" w14:textId="7740C83B" w:rsidR="00075E7B" w:rsidRPr="007601D4" w:rsidRDefault="00DA511F" w:rsidP="00D13F1A">
      <w:pPr>
        <w:spacing w:line="360" w:lineRule="auto"/>
        <w:rPr>
          <w:rFonts w:cs="Times New Roman"/>
          <w:szCs w:val="24"/>
        </w:rPr>
      </w:pPr>
      <w:r>
        <w:rPr>
          <w:rFonts w:cs="Times New Roman"/>
          <w:szCs w:val="24"/>
        </w:rPr>
        <w:t>U</w:t>
      </w:r>
      <w:r w:rsidR="00150285" w:rsidRPr="007601D4">
        <w:rPr>
          <w:rFonts w:cs="Times New Roman"/>
          <w:szCs w:val="24"/>
        </w:rPr>
        <w:t xml:space="preserve">pon invitation by the Slovenian Insurance Supervision Agency (AZN), </w:t>
      </w:r>
      <w:r>
        <w:rPr>
          <w:rFonts w:cs="Times New Roman"/>
          <w:szCs w:val="24"/>
        </w:rPr>
        <w:t>t</w:t>
      </w:r>
      <w:r w:rsidRPr="007601D4">
        <w:rPr>
          <w:rFonts w:cs="Times New Roman"/>
          <w:szCs w:val="24"/>
        </w:rPr>
        <w:t xml:space="preserve">he RCC participated </w:t>
      </w:r>
      <w:r w:rsidR="00150285" w:rsidRPr="007601D4">
        <w:rPr>
          <w:rFonts w:cs="Times New Roman"/>
          <w:szCs w:val="24"/>
        </w:rPr>
        <w:t xml:space="preserve">in the Regional Seminar for Central, Eastern Europe and Transcaucasia (CEET): </w:t>
      </w:r>
      <w:r w:rsidR="00150285" w:rsidRPr="007601D4">
        <w:rPr>
          <w:rFonts w:cs="Times New Roman"/>
          <w:i/>
          <w:iCs/>
          <w:szCs w:val="24"/>
        </w:rPr>
        <w:t>Bridging the Gap: Resilience, Risk and Inclusion in Regional Insurance Markets</w:t>
      </w:r>
      <w:r w:rsidR="00150285" w:rsidRPr="007601D4">
        <w:rPr>
          <w:rFonts w:cs="Times New Roman"/>
          <w:szCs w:val="24"/>
        </w:rPr>
        <w:t xml:space="preserve">, organised by the International Association of Insurance Supervisors (IAIS) and hosted by </w:t>
      </w:r>
      <w:bookmarkStart w:id="39" w:name="_Hlk222094878"/>
      <w:r w:rsidR="00150285" w:rsidRPr="007601D4">
        <w:rPr>
          <w:rFonts w:cs="Times New Roman"/>
          <w:szCs w:val="24"/>
        </w:rPr>
        <w:t>AZN in Ljubljana on 20–21 November 2025.</w:t>
      </w:r>
      <w:bookmarkEnd w:id="39"/>
      <w:r w:rsidR="00150285" w:rsidRPr="007601D4">
        <w:rPr>
          <w:rFonts w:cs="Times New Roman"/>
          <w:szCs w:val="24"/>
        </w:rPr>
        <w:t xml:space="preserve"> The RCC presented the newly established SEE Regional Network and its forward-looking agenda. Participants were briefed on the SEE2030 Strategy, with particular emphasis on the Human Security and Resilience dimension, and the prioritisation of disaster risk reduction.</w:t>
      </w:r>
      <w:r w:rsidR="00075E7B" w:rsidRPr="007601D4">
        <w:rPr>
          <w:rFonts w:cs="Times New Roman"/>
          <w:szCs w:val="24"/>
        </w:rPr>
        <w:t xml:space="preserve"> </w:t>
      </w:r>
    </w:p>
    <w:p w14:paraId="3177F0BA" w14:textId="1EB75652" w:rsidR="0090786F" w:rsidRPr="007601D4" w:rsidRDefault="00075E7B" w:rsidP="00D13F1A">
      <w:pPr>
        <w:spacing w:line="360" w:lineRule="auto"/>
      </w:pPr>
      <w:r w:rsidRPr="007601D4">
        <w:lastRenderedPageBreak/>
        <w:t xml:space="preserve">To advance the intraregional cooperation, the RCC hosted the </w:t>
      </w:r>
      <w:hyperlink r:id="rId88" w:history="1">
        <w:r w:rsidRPr="007601D4">
          <w:rPr>
            <w:rStyle w:val="Hyperlink"/>
            <w:b/>
          </w:rPr>
          <w:t>19</w:t>
        </w:r>
        <w:r w:rsidRPr="007601D4">
          <w:rPr>
            <w:rStyle w:val="Hyperlink"/>
            <w:b/>
            <w:vertAlign w:val="superscript"/>
          </w:rPr>
          <w:t>th</w:t>
        </w:r>
        <w:r w:rsidRPr="007601D4">
          <w:rPr>
            <w:rStyle w:val="Hyperlink"/>
            <w:b/>
          </w:rPr>
          <w:t xml:space="preserve"> Coordination Meeting of Regional Organisations</w:t>
        </w:r>
      </w:hyperlink>
      <w:r w:rsidRPr="007601D4">
        <w:t xml:space="preserve"> on 3–4 December 2025. This meeting convened the Secretaries-General of RCC, CEI, AII, </w:t>
      </w:r>
      <w:r w:rsidR="00AF1ADA">
        <w:t xml:space="preserve">and </w:t>
      </w:r>
      <w:r w:rsidRPr="007601D4">
        <w:t>BSEC</w:t>
      </w:r>
      <w:r w:rsidR="0065033F" w:rsidRPr="007601D4">
        <w:t xml:space="preserve"> </w:t>
      </w:r>
      <w:r w:rsidRPr="007601D4">
        <w:t>to address jointly agreed topic on connectivity among the regions: “</w:t>
      </w:r>
      <w:r w:rsidRPr="007601D4">
        <w:rPr>
          <w:b/>
          <w:i/>
        </w:rPr>
        <w:t>Smart, Sustainable and Resilient Connectivity among the Regions: Enhancing sustainable and inclusive economic development for resilience through connectivity among the regions and regional cooperation</w:t>
      </w:r>
      <w:r w:rsidR="00C910CF" w:rsidRPr="00C910CF">
        <w:rPr>
          <w:bCs/>
          <w:iCs/>
        </w:rPr>
        <w:t>”</w:t>
      </w:r>
      <w:r w:rsidRPr="007601D4">
        <w:rPr>
          <w:i/>
        </w:rPr>
        <w:t>.</w:t>
      </w:r>
      <w:r w:rsidRPr="007601D4">
        <w:t xml:space="preserve"> Guest participants included representatives of the Sofia C-</w:t>
      </w:r>
      <w:proofErr w:type="spellStart"/>
      <w:r w:rsidRPr="007601D4">
        <w:t>i</w:t>
      </w:r>
      <w:proofErr w:type="spellEnd"/>
      <w:r w:rsidRPr="007601D4">
        <w:t xml:space="preserve">-O of the SEECP, the Ministry of Foreign Affairs of Bosnia and Herzegovina, and the World Bank, ensuring a broader and policy-oriented exchange. The Union for the Mediterranean, as a member of this format, did not participate </w:t>
      </w:r>
      <w:r w:rsidR="00CB6D63">
        <w:t>in</w:t>
      </w:r>
      <w:r w:rsidRPr="007601D4">
        <w:t xml:space="preserve"> the meeting. </w:t>
      </w:r>
      <w:r w:rsidR="0098724D" w:rsidRPr="007601D4">
        <w:t>Upon invitation of the Cypr</w:t>
      </w:r>
      <w:r w:rsidR="008E5562">
        <w:t>us</w:t>
      </w:r>
      <w:r w:rsidR="0098724D" w:rsidRPr="007601D4">
        <w:t xml:space="preserve"> Presidency of the Council of the EU, RCC presented the implementation progress and interim results of the </w:t>
      </w:r>
      <w:hyperlink r:id="rId89" w:history="1">
        <w:r w:rsidR="0098724D" w:rsidRPr="007601D4">
          <w:rPr>
            <w:rStyle w:val="Hyperlink"/>
            <w:b/>
            <w:bCs/>
          </w:rPr>
          <w:t>SEE2030 Strategy</w:t>
        </w:r>
      </w:hyperlink>
      <w:r w:rsidR="0098724D" w:rsidRPr="007601D4">
        <w:t xml:space="preserve"> to the Council Working Party on the 2030 Agenda for Sustainable Development on 4 February 2026. The presentation positioned SEE2030 as a joint commitment of all 13 SEECP participants and a coordinated regional roadmap for accelerating delivery on the SDGs implementation. It highlighted the Strategy’s UN-based, bottom-up methodology, its supporting macroeconomic analysis, and the development of the SEE Inclusive Growth Index as an evidence-based monitoring tool. </w:t>
      </w:r>
      <w:proofErr w:type="gramStart"/>
      <w:r w:rsidR="0098724D" w:rsidRPr="007601D4">
        <w:t>Particular emphasis</w:t>
      </w:r>
      <w:proofErr w:type="gramEnd"/>
      <w:r w:rsidR="0098724D" w:rsidRPr="007601D4">
        <w:t xml:space="preserve"> was placed on disaster risk reduction and resilience, as well as on the operationalisation of the SEE2030 programming cycle. EU Member State representatives expressed clear support for the Strategy’s implementation and commended RCC’s role as the operational arm of the SEECP in driving measurable regional results.</w:t>
      </w:r>
    </w:p>
    <w:p w14:paraId="02838303" w14:textId="5B986485" w:rsidR="0010053E" w:rsidRPr="007601D4" w:rsidRDefault="00150285" w:rsidP="00D13F1A">
      <w:pPr>
        <w:spacing w:line="360" w:lineRule="auto"/>
        <w:rPr>
          <w:rFonts w:cs="Times New Roman"/>
          <w:szCs w:val="24"/>
        </w:rPr>
      </w:pPr>
      <w:r w:rsidRPr="007601D4">
        <w:rPr>
          <w:rFonts w:cs="Times New Roman"/>
          <w:szCs w:val="24"/>
        </w:rPr>
        <w:t xml:space="preserve">As part of </w:t>
      </w:r>
      <w:r w:rsidR="001C375F">
        <w:rPr>
          <w:rFonts w:cs="Times New Roman"/>
          <w:szCs w:val="24"/>
        </w:rPr>
        <w:t xml:space="preserve">the </w:t>
      </w:r>
      <w:r w:rsidRPr="007601D4">
        <w:rPr>
          <w:rFonts w:cs="Times New Roman"/>
          <w:szCs w:val="24"/>
        </w:rPr>
        <w:t xml:space="preserve">ongoing efforts to increase the visibility of the </w:t>
      </w:r>
      <w:hyperlink r:id="rId90" w:history="1">
        <w:r w:rsidRPr="007601D4">
          <w:rPr>
            <w:rStyle w:val="Hyperlink"/>
            <w:rFonts w:cs="Times New Roman"/>
            <w:szCs w:val="24"/>
          </w:rPr>
          <w:t>SEE2030 Strategy</w:t>
        </w:r>
      </w:hyperlink>
      <w:r w:rsidRPr="007601D4">
        <w:rPr>
          <w:rFonts w:cs="Times New Roman"/>
          <w:szCs w:val="24"/>
        </w:rPr>
        <w:t xml:space="preserve"> and its work on the Beyond GDP agenda, </w:t>
      </w:r>
      <w:r w:rsidRPr="007601D4">
        <w:rPr>
          <w:rFonts w:cs="Times New Roman"/>
          <w:b/>
          <w:bCs/>
          <w:szCs w:val="24"/>
        </w:rPr>
        <w:t>the RCC participated in the closing plenary session of the 2026 Regional Forum on Sustainable Development for the UNECE region</w:t>
      </w:r>
      <w:r w:rsidRPr="007601D4">
        <w:rPr>
          <w:rFonts w:cs="Times New Roman"/>
          <w:szCs w:val="24"/>
        </w:rPr>
        <w:t>, held in Geneva on 21–22 April 2026. Following the panel discussion on “Beyond GDP”</w:t>
      </w:r>
      <w:r w:rsidR="00C910CF">
        <w:rPr>
          <w:rFonts w:cs="Times New Roman"/>
          <w:szCs w:val="24"/>
        </w:rPr>
        <w:t>,</w:t>
      </w:r>
      <w:r w:rsidRPr="007601D4">
        <w:rPr>
          <w:rFonts w:cs="Times New Roman"/>
          <w:szCs w:val="24"/>
        </w:rPr>
        <w:t xml:space="preserve"> which was central to the session, the RCC presented its efforts and role in advancing this agenda under the inclusive growth dimension of the SEE2030 Strategy.   </w:t>
      </w:r>
    </w:p>
    <w:p w14:paraId="49DCB0FF" w14:textId="00552E5E" w:rsidR="005663D0" w:rsidRPr="007601D4" w:rsidRDefault="00150285" w:rsidP="00D13F1A">
      <w:pPr>
        <w:spacing w:line="360" w:lineRule="auto"/>
        <w:rPr>
          <w:rFonts w:cs="Times New Roman"/>
          <w:szCs w:val="24"/>
        </w:rPr>
      </w:pPr>
      <w:r w:rsidRPr="007601D4">
        <w:rPr>
          <w:rFonts w:cs="Times New Roman"/>
          <w:b/>
          <w:bCs/>
          <w:szCs w:val="24"/>
        </w:rPr>
        <w:t>The seventh meeting of the SEE2030 Strategy Monitoring Committee</w:t>
      </w:r>
      <w:r w:rsidRPr="007601D4">
        <w:rPr>
          <w:rFonts w:cs="Times New Roman"/>
          <w:szCs w:val="24"/>
        </w:rPr>
        <w:t xml:space="preserve"> was held in Sofia on 5 May 2026, organised in coordination with and co-hosted by the Sofia SEECP Chairmanship-in-Office. As the primary governance body of the Strategy, the Monitoring Committee endorsed three key documents that sharpen the focus of activities in the upcoming period, provide a comprehensive overview of mid-term implementation, and present inclusive growth trends in the region based on the findings of the SEE Inclusive Growth </w:t>
      </w:r>
      <w:r w:rsidRPr="007601D4">
        <w:rPr>
          <w:rFonts w:cs="Times New Roman"/>
          <w:i/>
          <w:iCs/>
          <w:szCs w:val="24"/>
        </w:rPr>
        <w:t>Index (namely: the Mid-</w:t>
      </w:r>
      <w:r w:rsidRPr="007601D4">
        <w:rPr>
          <w:rFonts w:cs="Times New Roman"/>
          <w:i/>
          <w:iCs/>
          <w:szCs w:val="24"/>
        </w:rPr>
        <w:lastRenderedPageBreak/>
        <w:t>term Update of the SEE2030 Strategy; the SEE2030 Strategy Mid-term Implementation Report; and the Report of the SEE Inclusive Growth Index - IGI)</w:t>
      </w:r>
      <w:r w:rsidRPr="007601D4">
        <w:rPr>
          <w:rFonts w:cs="Times New Roman"/>
          <w:szCs w:val="24"/>
        </w:rPr>
        <w:t>. The meeting provided an opportunity for the members of the Monitoring Committee to exchange views on the role of Public–Private Partnerships in the implementation of the United Nations Sustainable Development Goals, under the theme “</w:t>
      </w:r>
      <w:r w:rsidRPr="007601D4">
        <w:rPr>
          <w:rFonts w:cs="Times New Roman"/>
          <w:i/>
          <w:iCs/>
          <w:szCs w:val="24"/>
        </w:rPr>
        <w:t xml:space="preserve">Public–Private Partnerships as a Catalyst for SDGs Implementation towards Resilience and Inclusive Growth in </w:t>
      </w:r>
      <w:proofErr w:type="gramStart"/>
      <w:r w:rsidRPr="007601D4">
        <w:rPr>
          <w:rFonts w:cs="Times New Roman"/>
          <w:i/>
          <w:iCs/>
          <w:szCs w:val="24"/>
        </w:rPr>
        <w:t>South East</w:t>
      </w:r>
      <w:proofErr w:type="gramEnd"/>
      <w:r w:rsidRPr="007601D4">
        <w:rPr>
          <w:rFonts w:cs="Times New Roman"/>
          <w:i/>
          <w:iCs/>
          <w:szCs w:val="24"/>
        </w:rPr>
        <w:t xml:space="preserve"> Europe”.</w:t>
      </w:r>
      <w:r w:rsidR="005663D0" w:rsidRPr="007601D4">
        <w:rPr>
          <w:rFonts w:cs="Times New Roman"/>
          <w:szCs w:val="24"/>
        </w:rPr>
        <w:t xml:space="preserve"> </w:t>
      </w:r>
    </w:p>
    <w:p w14:paraId="31F6F729" w14:textId="77777777" w:rsidR="00960FD2" w:rsidRPr="007601D4" w:rsidRDefault="00960FD2" w:rsidP="0004382C">
      <w:pPr>
        <w:pStyle w:val="Heading2"/>
        <w:spacing w:line="360" w:lineRule="auto"/>
      </w:pPr>
      <w:bookmarkStart w:id="40" w:name="_Toc228451791"/>
      <w:r w:rsidRPr="007601D4">
        <w:t>B3. Parliamentary Cooperation</w:t>
      </w:r>
      <w:bookmarkEnd w:id="40"/>
    </w:p>
    <w:p w14:paraId="72C80199" w14:textId="36535EAB" w:rsidR="00391106" w:rsidRPr="007601D4" w:rsidRDefault="005663D0" w:rsidP="001E3FCE">
      <w:pPr>
        <w:spacing w:line="360" w:lineRule="auto"/>
      </w:pPr>
      <w:r w:rsidRPr="007601D4">
        <w:t xml:space="preserve">RCC continued its efforts in strengthening parliamentary cooperation in the SEE region by supporting Bosnia and Herzegovina's chairmanship and the organisation of the Conference of Parliamentary Committees on European Integration/Affairs of the Countries Participating in the Stabilisation and Association Process in </w:t>
      </w:r>
      <w:proofErr w:type="gramStart"/>
      <w:r w:rsidRPr="007601D4">
        <w:t>South East</w:t>
      </w:r>
      <w:proofErr w:type="gramEnd"/>
      <w:r w:rsidRPr="007601D4">
        <w:t xml:space="preserve"> Europe (COSAP)</w:t>
      </w:r>
      <w:r w:rsidR="000F5451" w:rsidRPr="007601D4">
        <w:t xml:space="preserve"> </w:t>
      </w:r>
      <w:r w:rsidR="00222246" w:rsidRPr="007601D4">
        <w:t>on 17-18 November 2025 in Sarajevo</w:t>
      </w:r>
      <w:r w:rsidR="00937A6D" w:rsidRPr="007601D4">
        <w:t>.</w:t>
      </w:r>
      <w:r w:rsidR="000130B5" w:rsidRPr="007601D4">
        <w:t xml:space="preserve"> </w:t>
      </w:r>
      <w:r w:rsidR="00960FD2" w:rsidRPr="007601D4">
        <w:t>RCC also participated in the high-level parliamentary conference Role of Effective Parliamentary Oversight in Advancing the EU Accession Process, held from 7 to 10 October in Podgorica, emphasi</w:t>
      </w:r>
      <w:r w:rsidR="007601D4">
        <w:t>s</w:t>
      </w:r>
      <w:r w:rsidR="00960FD2" w:rsidRPr="007601D4">
        <w:t>ing the significance of parliamentary oversight in facilitating EU integration and reform implementation</w:t>
      </w:r>
      <w:bookmarkStart w:id="41" w:name="_Toc134626087"/>
      <w:r w:rsidR="00893972" w:rsidRPr="007601D4">
        <w:t xml:space="preserve">. </w:t>
      </w:r>
      <w:bookmarkStart w:id="42" w:name="_Toc134626088"/>
      <w:bookmarkEnd w:id="41"/>
    </w:p>
    <w:p w14:paraId="6BD87F0E" w14:textId="44E726CB" w:rsidR="00D25D71" w:rsidRPr="007601D4" w:rsidRDefault="00D25D71" w:rsidP="0004382C">
      <w:pPr>
        <w:pStyle w:val="Heading2"/>
        <w:spacing w:line="360" w:lineRule="auto"/>
      </w:pPr>
      <w:bookmarkStart w:id="43" w:name="_Toc228451792"/>
      <w:r w:rsidRPr="007601D4">
        <w:t>B</w:t>
      </w:r>
      <w:r w:rsidR="00C9423B" w:rsidRPr="007601D4">
        <w:t>4</w:t>
      </w:r>
      <w:r w:rsidRPr="007601D4">
        <w:t>. Good Governance</w:t>
      </w:r>
      <w:bookmarkEnd w:id="42"/>
      <w:bookmarkEnd w:id="43"/>
    </w:p>
    <w:p w14:paraId="63868667" w14:textId="77777777" w:rsidR="00B47744" w:rsidRPr="007601D4" w:rsidRDefault="00B47744" w:rsidP="00D13F1A">
      <w:pPr>
        <w:spacing w:line="360" w:lineRule="auto"/>
      </w:pPr>
      <w:r w:rsidRPr="007601D4">
        <w:t xml:space="preserve">During the reporting period, the RCC advanced its statutory commitment to good governance as a cross-cutting priority underpinning sustainable development, stability, and regional integration in </w:t>
      </w:r>
      <w:proofErr w:type="gramStart"/>
      <w:r w:rsidRPr="007601D4">
        <w:t>South East</w:t>
      </w:r>
      <w:proofErr w:type="gramEnd"/>
      <w:r w:rsidRPr="007601D4">
        <w:t xml:space="preserve"> Europe. In this context, it supported regional dialogue and institutional cooperation in justice, notably through continued engagement with the </w:t>
      </w:r>
      <w:proofErr w:type="gramStart"/>
      <w:r w:rsidRPr="007601D4">
        <w:t>South East</w:t>
      </w:r>
      <w:proofErr w:type="gramEnd"/>
      <w:r w:rsidRPr="007601D4">
        <w:t xml:space="preserve"> Europe Judicial Training Institutes (SEE JTI) Network, fostering mutual trust among judiciaries.</w:t>
      </w:r>
    </w:p>
    <w:p w14:paraId="5780C1B3" w14:textId="7C383A3C" w:rsidR="008F43F9" w:rsidRPr="007601D4" w:rsidRDefault="00725FC5" w:rsidP="00D13F1A">
      <w:pPr>
        <w:spacing w:line="360" w:lineRule="auto"/>
      </w:pPr>
      <w:r w:rsidRPr="007601D4">
        <w:t>Efforts focused on strengthening cooperation among Judicial Training Institutes (JTIs) through the preparation of the 9th JTI Network meeting, scheduled for 3 June in Sofia in cooperation with the National Institute of Justice of Bulgaria. Preparatory work included agenda-setting, coordination with regional partners, and defining thematic priorities, with the meeting set to provide a structured platform for exchanging experiences, identifying common challenges, and promoting good practices in the professional development of judges and prosecutors across the region.</w:t>
      </w:r>
      <w:r w:rsidR="00B22E24" w:rsidRPr="007601D4">
        <w:t xml:space="preserve"> </w:t>
      </w:r>
      <w:r w:rsidR="003410ED" w:rsidRPr="007601D4">
        <w:t xml:space="preserve">The event </w:t>
      </w:r>
      <w:r w:rsidR="008F43F9" w:rsidRPr="007601D4">
        <w:t xml:space="preserve">has confirmed participation of </w:t>
      </w:r>
      <w:r w:rsidR="003410ED" w:rsidRPr="007601D4">
        <w:t>judicial professionals and legal experts from Albania, Greece, Bosnia and Herzegovina, Bulgaria, Kosovo*, Montenegro,</w:t>
      </w:r>
      <w:r w:rsidR="00994779" w:rsidRPr="007601D4">
        <w:t xml:space="preserve"> </w:t>
      </w:r>
      <w:r w:rsidR="00581480">
        <w:t xml:space="preserve">and </w:t>
      </w:r>
      <w:r w:rsidR="003410ED" w:rsidRPr="007601D4">
        <w:t xml:space="preserve">Romania, </w:t>
      </w:r>
      <w:r w:rsidR="003410ED" w:rsidRPr="007601D4">
        <w:lastRenderedPageBreak/>
        <w:t xml:space="preserve">reaffirming the region’s collective commitment to advancing judicial capacity-building and cooperation. </w:t>
      </w:r>
      <w:r w:rsidR="008F43F9" w:rsidRPr="007601D4">
        <w:t>The activity builds on previous RCC-supported exchanges</w:t>
      </w:r>
      <w:r w:rsidR="001E1FB8" w:rsidRPr="007601D4">
        <w:t xml:space="preserve"> and </w:t>
      </w:r>
      <w:r w:rsidR="008F43F9" w:rsidRPr="007601D4">
        <w:t>promotes the sharing of training methodologies and practical experience, while addressing key issues such as data protection, transparency, accountability, and fair trial standards in line with the EU acquis. It is expected to strengthen the capacities of JTIs, enhance the quality and relevance of judicial training, support a more harmonised regional approach, and inform future priorities and initiatives in this area.</w:t>
      </w:r>
    </w:p>
    <w:p w14:paraId="7CB308E6" w14:textId="27C6F5B9" w:rsidR="00EB2FDA" w:rsidRPr="007601D4" w:rsidRDefault="00EB2FDA" w:rsidP="0004382C">
      <w:pPr>
        <w:pStyle w:val="Heading2"/>
        <w:spacing w:line="360" w:lineRule="auto"/>
      </w:pPr>
      <w:bookmarkStart w:id="44" w:name="_Toc228451793"/>
      <w:r w:rsidRPr="007601D4">
        <w:t>B</w:t>
      </w:r>
      <w:r w:rsidR="009D6AF4" w:rsidRPr="007601D4">
        <w:t>5</w:t>
      </w:r>
      <w:r w:rsidRPr="007601D4">
        <w:t>. Security Cooperation</w:t>
      </w:r>
      <w:bookmarkEnd w:id="44"/>
    </w:p>
    <w:p w14:paraId="125EB315" w14:textId="132A1726" w:rsidR="00997382" w:rsidRPr="007601D4" w:rsidRDefault="00997382" w:rsidP="00997382">
      <w:pPr>
        <w:spacing w:line="360" w:lineRule="auto"/>
        <w:rPr>
          <w:rFonts w:cs="Times New Roman"/>
        </w:rPr>
      </w:pPr>
      <w:r w:rsidRPr="007601D4">
        <w:rPr>
          <w:rFonts w:cs="Times New Roman"/>
        </w:rPr>
        <w:t xml:space="preserve">During the reporting period, the RCC strengthened its role as a regional platform for dialogue, analytical support, and coordination of security cooperation across SEE and the WB6 by consolidating key regional cooperation platforms, enhancing evidence-based policymaking through </w:t>
      </w:r>
      <w:hyperlink r:id="rId91" w:history="1">
        <w:proofErr w:type="spellStart"/>
        <w:r w:rsidRPr="007601D4">
          <w:rPr>
            <w:rStyle w:val="Hyperlink"/>
            <w:b/>
            <w:szCs w:val="24"/>
            <w:u w:val="none"/>
          </w:rPr>
          <w:t>SecuriMeter</w:t>
        </w:r>
        <w:proofErr w:type="spellEnd"/>
      </w:hyperlink>
      <w:r w:rsidRPr="007601D4">
        <w:rPr>
          <w:rFonts w:cs="Times New Roman"/>
        </w:rPr>
        <w:t>, and advancing coordination mechanisms that support regional resilience and EU convergence. It continued to facilitate structured dialogue among security institutions, promote analysis of public perceptions of security challenges, and reinforce linkages between regional initiatives and security frameworks, while supporting established SEECP security dialogue formats that contribute to continuity and trust-building across the region.</w:t>
      </w:r>
    </w:p>
    <w:p w14:paraId="5608DF0E" w14:textId="15F92CF0" w:rsidR="00997382" w:rsidRPr="007601D4" w:rsidRDefault="00997382" w:rsidP="00997382">
      <w:pPr>
        <w:spacing w:line="360" w:lineRule="auto"/>
        <w:rPr>
          <w:rFonts w:cs="Times New Roman"/>
        </w:rPr>
      </w:pPr>
      <w:r w:rsidRPr="007601D4">
        <w:rPr>
          <w:rFonts w:cs="Times New Roman"/>
        </w:rPr>
        <w:t xml:space="preserve">The </w:t>
      </w:r>
      <w:hyperlink r:id="rId92" w:history="1">
        <w:r w:rsidRPr="007601D4">
          <w:rPr>
            <w:rStyle w:val="Hyperlink"/>
            <w:rFonts w:cs="Times New Roman"/>
          </w:rPr>
          <w:t xml:space="preserve">17th Conference of the </w:t>
        </w:r>
        <w:proofErr w:type="gramStart"/>
        <w:r w:rsidRPr="007601D4">
          <w:rPr>
            <w:rStyle w:val="Hyperlink"/>
            <w:rFonts w:cs="Times New Roman"/>
          </w:rPr>
          <w:t>South East</w:t>
        </w:r>
        <w:proofErr w:type="gramEnd"/>
        <w:r w:rsidRPr="007601D4">
          <w:rPr>
            <w:rStyle w:val="Hyperlink"/>
            <w:rFonts w:cs="Times New Roman"/>
          </w:rPr>
          <w:t xml:space="preserve"> Europe Military Intelligence Chiefs (SEEMIC)</w:t>
        </w:r>
      </w:hyperlink>
      <w:r w:rsidRPr="007601D4">
        <w:rPr>
          <w:rFonts w:cs="Times New Roman"/>
        </w:rPr>
        <w:t xml:space="preserve"> was held in Sarajevo on 17 September 2025, co-organi</w:t>
      </w:r>
      <w:r w:rsidR="007601D4">
        <w:rPr>
          <w:rFonts w:cs="Times New Roman"/>
        </w:rPr>
        <w:t>s</w:t>
      </w:r>
      <w:r w:rsidRPr="007601D4">
        <w:rPr>
          <w:rFonts w:cs="Times New Roman"/>
        </w:rPr>
        <w:t>ed by the Ministry of Defen</w:t>
      </w:r>
      <w:r w:rsidR="007601D4">
        <w:rPr>
          <w:rFonts w:cs="Times New Roman"/>
        </w:rPr>
        <w:t>c</w:t>
      </w:r>
      <w:r w:rsidRPr="007601D4">
        <w:rPr>
          <w:rFonts w:cs="Times New Roman"/>
        </w:rPr>
        <w:t>e of Bosnia and Herzegovina and the RCC. The conference examined the impact of organi</w:t>
      </w:r>
      <w:r w:rsidR="007601D4">
        <w:rPr>
          <w:rFonts w:cs="Times New Roman"/>
        </w:rPr>
        <w:t>s</w:t>
      </w:r>
      <w:r w:rsidRPr="007601D4">
        <w:rPr>
          <w:rFonts w:cs="Times New Roman"/>
        </w:rPr>
        <w:t xml:space="preserve">ed crime on regional security and reaffirmed the importance of continued cooperation and information exchange among military intelligence structures in SEE. The RCC contributed analytical input through </w:t>
      </w:r>
      <w:hyperlink r:id="rId93" w:history="1">
        <w:proofErr w:type="spellStart"/>
        <w:r w:rsidRPr="007601D4">
          <w:rPr>
            <w:rStyle w:val="Hyperlink"/>
            <w:rFonts w:cs="Times New Roman"/>
          </w:rPr>
          <w:t>SecuriMeter</w:t>
        </w:r>
        <w:proofErr w:type="spellEnd"/>
      </w:hyperlink>
      <w:r w:rsidRPr="007601D4">
        <w:rPr>
          <w:rFonts w:cs="Times New Roman"/>
        </w:rPr>
        <w:t xml:space="preserve"> findings on public perceptions of security and key threats affecting the WB region, providing analytical inputs to discussions on organi</w:t>
      </w:r>
      <w:r w:rsidR="007601D4">
        <w:rPr>
          <w:rFonts w:cs="Times New Roman"/>
        </w:rPr>
        <w:t>s</w:t>
      </w:r>
      <w:r w:rsidRPr="007601D4">
        <w:rPr>
          <w:rFonts w:cs="Times New Roman"/>
        </w:rPr>
        <w:t>ed crime and regional risk trends.</w:t>
      </w:r>
    </w:p>
    <w:p w14:paraId="2D61FF4B" w14:textId="133DAC70" w:rsidR="00997382" w:rsidRPr="007601D4" w:rsidRDefault="00997382" w:rsidP="00997382">
      <w:pPr>
        <w:shd w:val="clear" w:color="auto" w:fill="FFFFFF"/>
        <w:spacing w:line="360" w:lineRule="auto"/>
        <w:rPr>
          <w:rFonts w:cs="Times New Roman"/>
        </w:rPr>
      </w:pPr>
      <w:r w:rsidRPr="007601D4">
        <w:rPr>
          <w:rFonts w:cs="Times New Roman"/>
        </w:rPr>
        <w:t>RCC co-organi</w:t>
      </w:r>
      <w:r w:rsidR="007601D4">
        <w:rPr>
          <w:rFonts w:cs="Times New Roman"/>
        </w:rPr>
        <w:t>s</w:t>
      </w:r>
      <w:r w:rsidRPr="007601D4">
        <w:rPr>
          <w:rFonts w:cs="Times New Roman"/>
        </w:rPr>
        <w:t xml:space="preserve">ed the </w:t>
      </w:r>
      <w:hyperlink r:id="rId94" w:history="1">
        <w:r w:rsidRPr="007601D4">
          <w:rPr>
            <w:rStyle w:val="Hyperlink"/>
            <w:rFonts w:cs="Times New Roman"/>
            <w:b/>
            <w:bCs/>
          </w:rPr>
          <w:t xml:space="preserve">15th meeting of the Heads of </w:t>
        </w:r>
        <w:proofErr w:type="gramStart"/>
        <w:r w:rsidRPr="007601D4">
          <w:rPr>
            <w:rStyle w:val="Hyperlink"/>
            <w:rFonts w:cs="Times New Roman"/>
            <w:b/>
            <w:bCs/>
          </w:rPr>
          <w:t>South East</w:t>
        </w:r>
        <w:proofErr w:type="gramEnd"/>
        <w:r w:rsidRPr="007601D4">
          <w:rPr>
            <w:rStyle w:val="Hyperlink"/>
            <w:rFonts w:cs="Times New Roman"/>
            <w:b/>
            <w:bCs/>
          </w:rPr>
          <w:t xml:space="preserve"> European National Security Authorities (SEENSA),</w:t>
        </w:r>
      </w:hyperlink>
      <w:r w:rsidRPr="007601D4">
        <w:rPr>
          <w:rFonts w:cs="Times New Roman"/>
          <w:b/>
          <w:bCs/>
        </w:rPr>
        <w:t xml:space="preserve"> </w:t>
      </w:r>
      <w:r w:rsidRPr="007601D4">
        <w:rPr>
          <w:rFonts w:cs="Times New Roman"/>
        </w:rPr>
        <w:t xml:space="preserve">held on 7-8 October 2025 in Varna. </w:t>
      </w:r>
      <w:r w:rsidRPr="007601D4">
        <w:rPr>
          <w:rFonts w:cs="Times New Roman"/>
          <w:bCs/>
          <w:color w:val="000000" w:themeColor="text1"/>
        </w:rPr>
        <w:t xml:space="preserve">The event was hosted by the Bulgarian Commission on Information Security (SCIS) as part of the activities under the Sofia Chairmanship-in-Office of the </w:t>
      </w:r>
      <w:proofErr w:type="gramStart"/>
      <w:r w:rsidRPr="007601D4">
        <w:rPr>
          <w:rFonts w:cs="Times New Roman"/>
          <w:bCs/>
          <w:color w:val="000000" w:themeColor="text1"/>
        </w:rPr>
        <w:t>South East</w:t>
      </w:r>
      <w:proofErr w:type="gramEnd"/>
      <w:r w:rsidRPr="007601D4">
        <w:rPr>
          <w:rFonts w:cs="Times New Roman"/>
          <w:bCs/>
          <w:color w:val="000000" w:themeColor="text1"/>
        </w:rPr>
        <w:t xml:space="preserve"> European Cooperation Process (SEECP). </w:t>
      </w:r>
      <w:r w:rsidRPr="007601D4">
        <w:rPr>
          <w:rFonts w:cs="Times New Roman"/>
        </w:rPr>
        <w:t xml:space="preserve">Discussions addressed the protection of classified information, communication security standards, and exchange of domestic practices, further strengthening SEENSA as an important </w:t>
      </w:r>
      <w:r w:rsidRPr="007601D4">
        <w:rPr>
          <w:rFonts w:cs="Times New Roman"/>
        </w:rPr>
        <w:lastRenderedPageBreak/>
        <w:t xml:space="preserve">confidence-building platform. RCC presented key </w:t>
      </w:r>
      <w:hyperlink r:id="rId95" w:history="1">
        <w:proofErr w:type="spellStart"/>
        <w:r w:rsidRPr="007601D4">
          <w:rPr>
            <w:rStyle w:val="Hyperlink"/>
            <w:b/>
            <w:szCs w:val="24"/>
            <w:u w:val="none"/>
          </w:rPr>
          <w:t>SecuriMeter</w:t>
        </w:r>
        <w:proofErr w:type="spellEnd"/>
      </w:hyperlink>
      <w:r w:rsidRPr="007601D4">
        <w:rPr>
          <w:rFonts w:cs="Times New Roman"/>
        </w:rPr>
        <w:t xml:space="preserve"> findings related to trust in institutions and perceived security risks, supporting policy dialogue on emerging threats in the region.</w:t>
      </w:r>
    </w:p>
    <w:p w14:paraId="238BA69B" w14:textId="4B4BC3EE" w:rsidR="00997382" w:rsidRPr="007601D4" w:rsidRDefault="00997382" w:rsidP="00997382">
      <w:pPr>
        <w:pStyle w:val="NoSpacing"/>
        <w:spacing w:before="120" w:after="240" w:line="360" w:lineRule="auto"/>
        <w:jc w:val="both"/>
        <w:rPr>
          <w:rFonts w:ascii="Times New Roman" w:hAnsi="Times New Roman"/>
          <w:sz w:val="24"/>
          <w:szCs w:val="24"/>
        </w:rPr>
      </w:pPr>
      <w:r w:rsidRPr="007601D4">
        <w:rPr>
          <w:rFonts w:ascii="Times New Roman" w:hAnsi="Times New Roman"/>
          <w:sz w:val="24"/>
          <w:szCs w:val="24"/>
        </w:rPr>
        <w:t>The Regional Cooperation Council (RCC) organi</w:t>
      </w:r>
      <w:r w:rsidR="007601D4">
        <w:rPr>
          <w:rFonts w:ascii="Times New Roman" w:hAnsi="Times New Roman"/>
          <w:sz w:val="24"/>
          <w:szCs w:val="24"/>
        </w:rPr>
        <w:t>s</w:t>
      </w:r>
      <w:r w:rsidRPr="007601D4">
        <w:rPr>
          <w:rFonts w:ascii="Times New Roman" w:hAnsi="Times New Roman"/>
          <w:sz w:val="24"/>
          <w:szCs w:val="24"/>
        </w:rPr>
        <w:t xml:space="preserve">ed the </w:t>
      </w:r>
      <w:hyperlink r:id="rId96" w:history="1">
        <w:r w:rsidRPr="007601D4">
          <w:rPr>
            <w:rStyle w:val="Hyperlink"/>
            <w:rFonts w:ascii="Times New Roman" w:hAnsi="Times New Roman"/>
            <w:sz w:val="24"/>
            <w:szCs w:val="24"/>
          </w:rPr>
          <w:t>10th Regional Security Coordination Conference, JUMBO 2025</w:t>
        </w:r>
      </w:hyperlink>
      <w:r w:rsidRPr="007601D4">
        <w:rPr>
          <w:rFonts w:ascii="Times New Roman" w:hAnsi="Times New Roman"/>
          <w:sz w:val="24"/>
          <w:szCs w:val="24"/>
        </w:rPr>
        <w:t xml:space="preserve">, held on 11 and 12 November 2025 in Skopje under the theme </w:t>
      </w:r>
      <w:r w:rsidRPr="007601D4">
        <w:rPr>
          <w:rFonts w:ascii="Times New Roman" w:hAnsi="Times New Roman"/>
          <w:i/>
          <w:iCs/>
          <w:sz w:val="24"/>
          <w:szCs w:val="24"/>
        </w:rPr>
        <w:t>“WB–EU: Shared Security, Shared Future”</w:t>
      </w:r>
      <w:r w:rsidR="00CE7081">
        <w:rPr>
          <w:rFonts w:ascii="Times New Roman" w:hAnsi="Times New Roman"/>
          <w:i/>
          <w:iCs/>
          <w:sz w:val="24"/>
          <w:szCs w:val="24"/>
        </w:rPr>
        <w:t>.</w:t>
      </w:r>
      <w:r w:rsidRPr="007601D4">
        <w:rPr>
          <w:rFonts w:ascii="Times New Roman" w:hAnsi="Times New Roman"/>
          <w:sz w:val="24"/>
          <w:szCs w:val="24"/>
        </w:rPr>
        <w:t xml:space="preserve"> Marking a full decade of the JUMBO format, the 2025 edition reaffirmed JUMBO as the primary regional forum for connecting the WB6 with EU partners on shared security challenges, fostering security dialogue and practical cooperation.</w:t>
      </w:r>
    </w:p>
    <w:p w14:paraId="3F83514A" w14:textId="3C588CE6" w:rsidR="00997382" w:rsidRPr="007601D4" w:rsidRDefault="00997382" w:rsidP="00997382">
      <w:pPr>
        <w:pStyle w:val="NoSpacing"/>
        <w:spacing w:before="120" w:after="240" w:line="360" w:lineRule="auto"/>
        <w:jc w:val="both"/>
        <w:rPr>
          <w:rFonts w:ascii="Times New Roman" w:hAnsi="Times New Roman"/>
          <w:sz w:val="24"/>
          <w:szCs w:val="24"/>
        </w:rPr>
      </w:pPr>
      <w:r w:rsidRPr="007601D4">
        <w:rPr>
          <w:rFonts w:ascii="Times New Roman" w:hAnsi="Times New Roman"/>
          <w:sz w:val="24"/>
          <w:szCs w:val="24"/>
        </w:rPr>
        <w:t>The Conference was organi</w:t>
      </w:r>
      <w:r w:rsidR="007601D4">
        <w:rPr>
          <w:rFonts w:ascii="Times New Roman" w:hAnsi="Times New Roman"/>
          <w:sz w:val="24"/>
          <w:szCs w:val="24"/>
        </w:rPr>
        <w:t>s</w:t>
      </w:r>
      <w:r w:rsidRPr="007601D4">
        <w:rPr>
          <w:rFonts w:ascii="Times New Roman" w:hAnsi="Times New Roman"/>
          <w:sz w:val="24"/>
          <w:szCs w:val="24"/>
        </w:rPr>
        <w:t xml:space="preserve">ed by the RCC, with the support of the Italian Ministry of Foreign Affairs and International Cooperation (MAECI), and the Ministry of Interior, as well as the European Union, and in partnership with the Government of North Macedonia. The Conference brought together over 170 participants, representing more than 15 jurisdictions across Europe, and a wide spectrum of institutions, including representatives of all WB6 Ministries of Interior and Foreign Affairs, multiple EU bodies, agencies, regional security organisations and initiatives, law-enforcement agencies, judiciaries, academia, and specialised centres on cyber, counter-terrorism, and hybrid threats. </w:t>
      </w:r>
      <w:r w:rsidRPr="007601D4">
        <w:rPr>
          <w:rFonts w:ascii="Times New Roman" w:eastAsia="Times New Roman" w:hAnsi="Times New Roman"/>
          <w:sz w:val="24"/>
          <w:szCs w:val="24"/>
        </w:rPr>
        <w:t xml:space="preserve">This broad participation ensured a comprehensive and policy-relevant exchange on regional security challenges. </w:t>
      </w:r>
    </w:p>
    <w:p w14:paraId="2BD25A94" w14:textId="2C22382F" w:rsidR="00997382" w:rsidRPr="007601D4" w:rsidRDefault="00997382" w:rsidP="00997382">
      <w:pPr>
        <w:pStyle w:val="NoSpacing"/>
        <w:spacing w:before="120" w:after="240" w:line="360" w:lineRule="auto"/>
        <w:jc w:val="both"/>
        <w:rPr>
          <w:rFonts w:ascii="Times New Roman" w:hAnsi="Times New Roman"/>
          <w:sz w:val="24"/>
          <w:szCs w:val="24"/>
        </w:rPr>
      </w:pPr>
      <w:r w:rsidRPr="007601D4">
        <w:rPr>
          <w:rFonts w:ascii="Times New Roman" w:hAnsi="Times New Roman"/>
          <w:sz w:val="24"/>
          <w:szCs w:val="24"/>
        </w:rPr>
        <w:t>The second day of the Conference featured three thematic working groups, bringing together over 90 participants to address migration management and Schengen preparedness; gender-based violence in transit, organi</w:t>
      </w:r>
      <w:r w:rsidR="007601D4">
        <w:rPr>
          <w:rFonts w:ascii="Times New Roman" w:hAnsi="Times New Roman"/>
          <w:sz w:val="24"/>
          <w:szCs w:val="24"/>
        </w:rPr>
        <w:t>s</w:t>
      </w:r>
      <w:r w:rsidRPr="007601D4">
        <w:rPr>
          <w:rFonts w:ascii="Times New Roman" w:hAnsi="Times New Roman"/>
          <w:sz w:val="24"/>
          <w:szCs w:val="24"/>
        </w:rPr>
        <w:t>ed crime, and corruption; and cyber and hybrid threats.</w:t>
      </w:r>
    </w:p>
    <w:p w14:paraId="3FE99950" w14:textId="677B23C5" w:rsidR="00997382" w:rsidRPr="007601D4" w:rsidRDefault="00997382" w:rsidP="00997382">
      <w:pPr>
        <w:pStyle w:val="NoSpacing"/>
        <w:spacing w:before="120" w:after="240" w:line="360" w:lineRule="auto"/>
        <w:jc w:val="both"/>
        <w:rPr>
          <w:rFonts w:ascii="Times New Roman" w:hAnsi="Times New Roman"/>
          <w:sz w:val="24"/>
          <w:szCs w:val="24"/>
        </w:rPr>
      </w:pPr>
      <w:r w:rsidRPr="007601D4">
        <w:rPr>
          <w:rFonts w:ascii="Times New Roman" w:hAnsi="Times New Roman"/>
          <w:sz w:val="24"/>
          <w:szCs w:val="24"/>
        </w:rPr>
        <w:t xml:space="preserve">Discussions generated concise, policy-oriented recommendations to inform future RCC activities and regional policy dialogue. Recommendations were published on 11 March 2026 as the </w:t>
      </w:r>
      <w:hyperlink r:id="rId97" w:history="1">
        <w:r w:rsidRPr="007601D4">
          <w:rPr>
            <w:rStyle w:val="Hyperlink"/>
            <w:rFonts w:ascii="Times New Roman" w:hAnsi="Times New Roman"/>
            <w:sz w:val="24"/>
            <w:szCs w:val="24"/>
          </w:rPr>
          <w:t>Post-Conference Report</w:t>
        </w:r>
      </w:hyperlink>
      <w:r w:rsidRPr="007601D4">
        <w:rPr>
          <w:rFonts w:ascii="Times New Roman" w:hAnsi="Times New Roman"/>
          <w:sz w:val="24"/>
          <w:szCs w:val="24"/>
        </w:rPr>
        <w:t xml:space="preserve"> of the 10th Annual Regional Security Coordination Conference (JUMBO 2025). The report identifies institutional trust, governance quality, and regional coordination as key to resilience and effective security policy, and calls for improved information-sharing, stronger anti-corruption frameworks, enhanced cyber resilience, and closer cooperation among security actors, alongside inclusive multi-stakeholder approaches. It also highlights the RCC’s strengthened analytical role through </w:t>
      </w:r>
      <w:proofErr w:type="spellStart"/>
      <w:r w:rsidRPr="007601D4">
        <w:rPr>
          <w:rFonts w:ascii="Times New Roman" w:hAnsi="Times New Roman"/>
          <w:sz w:val="24"/>
          <w:szCs w:val="24"/>
        </w:rPr>
        <w:t>SecuriMeter</w:t>
      </w:r>
      <w:proofErr w:type="spellEnd"/>
      <w:r w:rsidRPr="007601D4">
        <w:rPr>
          <w:rFonts w:ascii="Times New Roman" w:hAnsi="Times New Roman"/>
          <w:sz w:val="24"/>
          <w:szCs w:val="24"/>
        </w:rPr>
        <w:t xml:space="preserve">—the only continuous regional public opinion survey tracking citizens’ perceptions of security across the </w:t>
      </w:r>
      <w:r w:rsidRPr="007601D4">
        <w:rPr>
          <w:rFonts w:ascii="Times New Roman" w:hAnsi="Times New Roman"/>
          <w:sz w:val="24"/>
          <w:szCs w:val="24"/>
        </w:rPr>
        <w:lastRenderedPageBreak/>
        <w:t>WB6—supporting evidence-based policymaking and sustained regional cooperation. Together, these efforts contribute to stronger public trust, more resilient institutions, and a coherent regional security architecture, while reaffirming the JUMBO format’s value in linking political dialogue with practitioner-level cooperation and delivering actionable outcomes.</w:t>
      </w:r>
    </w:p>
    <w:p w14:paraId="7FAB58B7" w14:textId="7A182649" w:rsidR="00997382" w:rsidRPr="007601D4" w:rsidRDefault="00997382" w:rsidP="00997382">
      <w:pPr>
        <w:spacing w:line="360" w:lineRule="auto"/>
        <w:rPr>
          <w:rFonts w:cs="Times New Roman"/>
          <w:szCs w:val="24"/>
        </w:rPr>
      </w:pPr>
      <w:r w:rsidRPr="007601D4">
        <w:rPr>
          <w:rFonts w:cs="Times New Roman"/>
          <w:szCs w:val="24"/>
        </w:rPr>
        <w:t xml:space="preserve">The RCC participated in the </w:t>
      </w:r>
      <w:hyperlink r:id="rId98" w:history="1">
        <w:r w:rsidRPr="007601D4">
          <w:rPr>
            <w:rStyle w:val="Hyperlink"/>
            <w:rFonts w:cs="Times New Roman"/>
            <w:szCs w:val="24"/>
          </w:rPr>
          <w:t>Belgrade Security Conference (BSC) on 17 - 20 November 2025</w:t>
        </w:r>
      </w:hyperlink>
      <w:r w:rsidRPr="007601D4">
        <w:rPr>
          <w:rFonts w:cs="Times New Roman"/>
          <w:szCs w:val="24"/>
        </w:rPr>
        <w:t xml:space="preserve">. On 19 November, </w:t>
      </w:r>
      <w:hyperlink r:id="rId99" w:history="1">
        <w:r w:rsidRPr="007601D4">
          <w:rPr>
            <w:rStyle w:val="Hyperlink"/>
            <w:rFonts w:cs="Times New Roman"/>
            <w:szCs w:val="24"/>
          </w:rPr>
          <w:t>during a dedicated session</w:t>
        </w:r>
      </w:hyperlink>
      <w:r w:rsidRPr="007601D4">
        <w:rPr>
          <w:rFonts w:cs="Times New Roman"/>
          <w:szCs w:val="24"/>
        </w:rPr>
        <w:t xml:space="preserve">, the RCC presented the findings of </w:t>
      </w:r>
      <w:hyperlink r:id="rId100" w:history="1">
        <w:proofErr w:type="spellStart"/>
        <w:r w:rsidRPr="007601D4">
          <w:rPr>
            <w:rStyle w:val="Hyperlink"/>
            <w:rFonts w:cs="Times New Roman"/>
            <w:szCs w:val="24"/>
          </w:rPr>
          <w:t>SecuriMeter</w:t>
        </w:r>
        <w:proofErr w:type="spellEnd"/>
        <w:r w:rsidRPr="007601D4">
          <w:rPr>
            <w:rStyle w:val="Hyperlink"/>
            <w:rFonts w:cs="Times New Roman"/>
            <w:szCs w:val="24"/>
          </w:rPr>
          <w:t xml:space="preserve"> 2025,</w:t>
        </w:r>
      </w:hyperlink>
      <w:r w:rsidRPr="007601D4">
        <w:rPr>
          <w:rFonts w:cs="Times New Roman"/>
          <w:szCs w:val="24"/>
        </w:rPr>
        <w:t xml:space="preserve"> the annual WB6 survey on public perceptions of security, drawing strong interest from security practitioners, policymakers, academics, officials, and media. The panel was organi</w:t>
      </w:r>
      <w:r w:rsidR="007601D4">
        <w:rPr>
          <w:rFonts w:cs="Times New Roman"/>
          <w:szCs w:val="24"/>
        </w:rPr>
        <w:t>s</w:t>
      </w:r>
      <w:r w:rsidRPr="007601D4">
        <w:rPr>
          <w:rFonts w:cs="Times New Roman"/>
          <w:szCs w:val="24"/>
        </w:rPr>
        <w:t>ed by the RCC with the support of the Italian Ministry of Foreign Affairs and International Cooperation (MAECI).</w:t>
      </w:r>
      <w:r w:rsidRPr="007601D4">
        <w:t xml:space="preserve"> </w:t>
      </w:r>
      <w:r w:rsidRPr="007601D4">
        <w:rPr>
          <w:rFonts w:cs="Times New Roman"/>
          <w:szCs w:val="24"/>
        </w:rPr>
        <w:t xml:space="preserve">Now in its fifth edition, </w:t>
      </w:r>
      <w:proofErr w:type="spellStart"/>
      <w:r w:rsidRPr="007601D4">
        <w:rPr>
          <w:rFonts w:cs="Times New Roman"/>
          <w:szCs w:val="24"/>
        </w:rPr>
        <w:t>SecuriMeter</w:t>
      </w:r>
      <w:proofErr w:type="spellEnd"/>
      <w:r w:rsidRPr="007601D4">
        <w:rPr>
          <w:rFonts w:cs="Times New Roman"/>
          <w:szCs w:val="24"/>
        </w:rPr>
        <w:t xml:space="preserve"> remains the region’s only continuous survey tracking citizens’ views on security, governance, and societal risks across the WB6. Based on over 6,000 interviews, the 2025 findings offer a comprehensive overview of perceptions of personal and general security, institutional performance, economic pressures, trust in institutions and the EU, as well as risks related to conflict, corruption, migration, and cyber threats, and overall human security. </w:t>
      </w:r>
      <w:proofErr w:type="spellStart"/>
      <w:r w:rsidRPr="007601D4">
        <w:rPr>
          <w:rFonts w:cs="Times New Roman"/>
          <w:szCs w:val="24"/>
        </w:rPr>
        <w:t>SecuriMeter</w:t>
      </w:r>
      <w:proofErr w:type="spellEnd"/>
      <w:r w:rsidRPr="007601D4">
        <w:rPr>
          <w:rFonts w:cs="Times New Roman"/>
          <w:szCs w:val="24"/>
        </w:rPr>
        <w:t xml:space="preserve"> findings confirm that trust in institutions remains a key determinant of citizens’ perceptions of security, underscoring the role of institutional performance in strengthening resilience and public confidence. The 2025 edition introduced an econometric Trust Model linking institutional performance and public trust, providing a stronger analytical basis for evidence-based policy dialogue in the region.</w:t>
      </w:r>
    </w:p>
    <w:p w14:paraId="6B776FB2" w14:textId="77777777" w:rsidR="00997382" w:rsidRPr="007601D4" w:rsidRDefault="00997382" w:rsidP="00997382">
      <w:pPr>
        <w:spacing w:line="360" w:lineRule="auto"/>
        <w:rPr>
          <w:rFonts w:cs="Times New Roman"/>
          <w:szCs w:val="24"/>
        </w:rPr>
      </w:pPr>
      <w:proofErr w:type="spellStart"/>
      <w:r w:rsidRPr="007601D4">
        <w:rPr>
          <w:rFonts w:cs="Times New Roman"/>
          <w:szCs w:val="24"/>
        </w:rPr>
        <w:t>SecuriMeter</w:t>
      </w:r>
      <w:proofErr w:type="spellEnd"/>
      <w:r w:rsidRPr="007601D4">
        <w:rPr>
          <w:rFonts w:cs="Times New Roman"/>
          <w:szCs w:val="24"/>
        </w:rPr>
        <w:t xml:space="preserve"> continues to support the RCC’s security cooperation portfolio by connecting public perception data with policy discussions on governance, corruption, socio-economic pressures, and emerging threats. Preparations for the 2026 edition have advanced, with updated methodology aligned to the RCC Strategy and Work Programme 2026–2028; the survey is currently in the data collection phase, sustaining RCC’s evidence-based approach to regional security cooperation.</w:t>
      </w:r>
    </w:p>
    <w:p w14:paraId="6004EC62" w14:textId="77777777" w:rsidR="00997382" w:rsidRPr="007601D4" w:rsidRDefault="00997382" w:rsidP="00997382">
      <w:pPr>
        <w:spacing w:line="360" w:lineRule="auto"/>
        <w:rPr>
          <w:rFonts w:cs="Times New Roman"/>
          <w:szCs w:val="24"/>
        </w:rPr>
      </w:pPr>
      <w:r w:rsidRPr="009A329E">
        <w:rPr>
          <w:rFonts w:cs="Times New Roman"/>
          <w:szCs w:val="24"/>
        </w:rPr>
        <w:t>The RCC continued</w:t>
      </w:r>
      <w:r w:rsidRPr="007601D4">
        <w:rPr>
          <w:rFonts w:cs="Times New Roman"/>
          <w:szCs w:val="24"/>
        </w:rPr>
        <w:t xml:space="preserve"> its close cooperation with the </w:t>
      </w:r>
      <w:proofErr w:type="gramStart"/>
      <w:r w:rsidRPr="007601D4">
        <w:rPr>
          <w:rFonts w:cs="Times New Roman"/>
          <w:szCs w:val="24"/>
        </w:rPr>
        <w:t>South Eastern</w:t>
      </w:r>
      <w:proofErr w:type="gramEnd"/>
      <w:r w:rsidRPr="007601D4">
        <w:rPr>
          <w:rFonts w:cs="Times New Roman"/>
          <w:szCs w:val="24"/>
        </w:rPr>
        <w:t xml:space="preserve"> and Eastern Europe Clearinghouse for the Control of Small Arms and Light Weapons (SEESAC), a joint UNDP–RCC initiative supporting efforts to combat the illicit proliferation, misuse, and trafficking of SALW. It also maintained collaboration with the Migration, Asylum, Refugees Regional Initiative (MARRI), facilitating regional dialogue and exchange of practices on migration management.</w:t>
      </w:r>
    </w:p>
    <w:p w14:paraId="37ED5B05" w14:textId="72A1A16B" w:rsidR="00997382" w:rsidRPr="007601D4" w:rsidRDefault="00997382" w:rsidP="00997382">
      <w:pPr>
        <w:spacing w:line="360" w:lineRule="auto"/>
        <w:rPr>
          <w:rFonts w:cs="Times New Roman"/>
        </w:rPr>
      </w:pPr>
      <w:r w:rsidRPr="007601D4">
        <w:rPr>
          <w:rFonts w:cs="Times New Roman"/>
        </w:rPr>
        <w:lastRenderedPageBreak/>
        <w:t>RCC continued its engagement with the South-Eastern Europe Defence Ministerial (SEDM) process by participating in three meetings during the reporting period, including the Deputy Chiefs of Defence Meeting (SEDM-DCHODs) held in Sofia, the 53</w:t>
      </w:r>
      <w:r w:rsidRPr="00677087">
        <w:rPr>
          <w:rFonts w:cs="Times New Roman"/>
          <w:vertAlign w:val="superscript"/>
        </w:rPr>
        <w:t>rd</w:t>
      </w:r>
      <w:r w:rsidRPr="007601D4">
        <w:rPr>
          <w:rFonts w:cs="Times New Roman"/>
        </w:rPr>
        <w:t xml:space="preserve"> Coordination Committee (SEDM CC) meeting held in Bucharest, and the 54</w:t>
      </w:r>
      <w:r w:rsidRPr="00677087">
        <w:rPr>
          <w:rFonts w:cs="Times New Roman"/>
          <w:vertAlign w:val="superscript"/>
        </w:rPr>
        <w:t>th</w:t>
      </w:r>
      <w:r w:rsidRPr="007601D4">
        <w:rPr>
          <w:rFonts w:cs="Times New Roman"/>
        </w:rPr>
        <w:t xml:space="preserve"> SEDM CC meeting in Chania. Through these engagements, RCC contributed to discussions on regional security developments, strengthened cooperation, and promoted dialogue on emerging challenges affecting the region. RCC used these platforms to present its ongoing activities, including </w:t>
      </w:r>
      <w:proofErr w:type="spellStart"/>
      <w:r w:rsidRPr="007601D4">
        <w:rPr>
          <w:rFonts w:cs="Times New Roman"/>
        </w:rPr>
        <w:t>SecuriMeter</w:t>
      </w:r>
      <w:proofErr w:type="spellEnd"/>
      <w:r w:rsidRPr="007601D4">
        <w:rPr>
          <w:rFonts w:cs="Times New Roman"/>
        </w:rPr>
        <w:t xml:space="preserve"> findings and regional cooperation initiatives, and inform the SEE2030 Strategy's ongoing activities, while reinforcing its role as a facilitator of inclusive dialogue and coordination among regional and international security actors.</w:t>
      </w:r>
    </w:p>
    <w:p w14:paraId="7C52B3B6" w14:textId="2D63B059" w:rsidR="005C7528" w:rsidRPr="007601D4" w:rsidRDefault="00997382" w:rsidP="00997382">
      <w:pPr>
        <w:spacing w:line="360" w:lineRule="auto"/>
        <w:rPr>
          <w:rFonts w:cs="Times New Roman"/>
          <w:szCs w:val="24"/>
        </w:rPr>
      </w:pPr>
      <w:r w:rsidRPr="007601D4">
        <w:rPr>
          <w:rFonts w:cs="Times New Roman"/>
        </w:rPr>
        <w:t>RCC also contributed to the meetings of RACVIAC, Centre for Security Cooperation, by participating in the 54</w:t>
      </w:r>
      <w:r w:rsidRPr="00677087">
        <w:rPr>
          <w:rFonts w:cs="Times New Roman"/>
          <w:vertAlign w:val="superscript"/>
        </w:rPr>
        <w:t>th</w:t>
      </w:r>
      <w:r w:rsidRPr="007601D4">
        <w:rPr>
          <w:rFonts w:cs="Times New Roman"/>
        </w:rPr>
        <w:t xml:space="preserve"> Multinational Advisory Group (MAG) Meeting held in </w:t>
      </w:r>
      <w:proofErr w:type="spellStart"/>
      <w:r w:rsidRPr="007601D4">
        <w:rPr>
          <w:rFonts w:cs="Times New Roman"/>
        </w:rPr>
        <w:t>Rakitje</w:t>
      </w:r>
      <w:proofErr w:type="spellEnd"/>
      <w:r w:rsidRPr="007601D4">
        <w:rPr>
          <w:rFonts w:cs="Times New Roman"/>
        </w:rPr>
        <w:t xml:space="preserve"> in October 2025, as well as the 55</w:t>
      </w:r>
      <w:r w:rsidRPr="00677087">
        <w:rPr>
          <w:rFonts w:cs="Times New Roman"/>
          <w:vertAlign w:val="superscript"/>
        </w:rPr>
        <w:t>th</w:t>
      </w:r>
      <w:r w:rsidRPr="007601D4">
        <w:rPr>
          <w:rFonts w:cs="Times New Roman"/>
        </w:rPr>
        <w:t xml:space="preserve"> MAG Meeting held</w:t>
      </w:r>
      <w:r w:rsidR="00D66447">
        <w:rPr>
          <w:rFonts w:cs="Times New Roman"/>
        </w:rPr>
        <w:t xml:space="preserve"> in</w:t>
      </w:r>
      <w:r w:rsidRPr="007601D4">
        <w:rPr>
          <w:rFonts w:cs="Times New Roman"/>
        </w:rPr>
        <w:t xml:space="preserve"> April 2026 in Sarajevo. These meetings focused on reviewing RACVIAC’s annual programme, budget, and strategic development, including the preparation of the new RACVIAC Strategy 2027–2032, while also addressing key areas such as arms control, cybersecurity, and security sector governance. During the Sarajevo meeting, Ambassador Miroslav Šćepanović from Montenegro took over the position of RACVIAC Director for the 2026-2029 mandate. RCC’s participation supported continued coordination among regional security platforms and reinforced synergies among RCC, RACVIAC, and other regional initiatives to promote dialogue, capacity building, and trust across SEE. </w:t>
      </w:r>
      <w:r w:rsidRPr="007601D4">
        <w:rPr>
          <w:rFonts w:cs="Times New Roman"/>
          <w:szCs w:val="24"/>
        </w:rPr>
        <w:t xml:space="preserve">Engagement with international partners and policy platforms was further strengthened. </w:t>
      </w:r>
    </w:p>
    <w:p w14:paraId="27C9AC7B" w14:textId="0D309D81" w:rsidR="00997382" w:rsidRPr="007601D4" w:rsidRDefault="00997382" w:rsidP="00997382">
      <w:pPr>
        <w:spacing w:line="360" w:lineRule="auto"/>
        <w:rPr>
          <w:rFonts w:cs="Times New Roman"/>
          <w:szCs w:val="24"/>
        </w:rPr>
      </w:pPr>
      <w:r w:rsidRPr="007601D4">
        <w:rPr>
          <w:rFonts w:cs="Times New Roman"/>
          <w:szCs w:val="24"/>
        </w:rPr>
        <w:t xml:space="preserve">The RCC Secretary General participated in the </w:t>
      </w:r>
      <w:hyperlink r:id="rId101" w:history="1">
        <w:r w:rsidRPr="007601D4">
          <w:rPr>
            <w:rStyle w:val="Hyperlink"/>
            <w:rFonts w:cs="Times New Roman"/>
            <w:szCs w:val="24"/>
          </w:rPr>
          <w:t>Munich Security Conference 2026</w:t>
        </w:r>
      </w:hyperlink>
      <w:r w:rsidRPr="007601D4">
        <w:rPr>
          <w:rFonts w:cs="Times New Roman"/>
          <w:szCs w:val="24"/>
        </w:rPr>
        <w:t xml:space="preserve">, contributing to discussions on regional cooperation and coordinated responses to complex security risks in </w:t>
      </w:r>
      <w:proofErr w:type="gramStart"/>
      <w:r w:rsidRPr="007601D4">
        <w:rPr>
          <w:rFonts w:cs="Times New Roman"/>
          <w:szCs w:val="24"/>
        </w:rPr>
        <w:t>South East</w:t>
      </w:r>
      <w:proofErr w:type="gramEnd"/>
      <w:r w:rsidRPr="007601D4">
        <w:rPr>
          <w:rFonts w:cs="Times New Roman"/>
          <w:szCs w:val="24"/>
        </w:rPr>
        <w:t xml:space="preserve"> Europe. The RCC also contributed to the GLOBSEC Forum, co-</w:t>
      </w:r>
      <w:r w:rsidR="005D68B9" w:rsidRPr="007601D4">
        <w:rPr>
          <w:rFonts w:cs="Times New Roman"/>
          <w:szCs w:val="24"/>
        </w:rPr>
        <w:t>organi</w:t>
      </w:r>
      <w:r w:rsidR="007601D4">
        <w:rPr>
          <w:rFonts w:cs="Times New Roman"/>
          <w:szCs w:val="24"/>
        </w:rPr>
        <w:t>s</w:t>
      </w:r>
      <w:r w:rsidR="005D68B9" w:rsidRPr="007601D4">
        <w:rPr>
          <w:rFonts w:cs="Times New Roman"/>
          <w:szCs w:val="24"/>
        </w:rPr>
        <w:t>ing together</w:t>
      </w:r>
      <w:r w:rsidRPr="007601D4">
        <w:rPr>
          <w:rFonts w:cs="Times New Roman"/>
          <w:szCs w:val="24"/>
        </w:rPr>
        <w:t xml:space="preserve"> with the Hellenic Foundation for European and Foreign Policy (ELIAMEP)</w:t>
      </w:r>
      <w:r w:rsidR="005D68B9" w:rsidRPr="007601D4">
        <w:rPr>
          <w:rFonts w:cs="Times New Roman"/>
          <w:szCs w:val="24"/>
        </w:rPr>
        <w:t xml:space="preserve"> </w:t>
      </w:r>
      <w:r w:rsidRPr="007601D4">
        <w:rPr>
          <w:rFonts w:cs="Times New Roman"/>
          <w:szCs w:val="24"/>
        </w:rPr>
        <w:t xml:space="preserve">a session on the links between human security, resilience, demographic trends, and EU convergence, enhancing RCC’s visibility in broader European policy debates. Through these engagements, the RCC promoted regional cooperation as a practical tool for addressing shared risks and strengthening stability in the Western Balkans and </w:t>
      </w:r>
      <w:proofErr w:type="gramStart"/>
      <w:r w:rsidRPr="007601D4">
        <w:rPr>
          <w:rFonts w:cs="Times New Roman"/>
          <w:szCs w:val="24"/>
        </w:rPr>
        <w:t>South East</w:t>
      </w:r>
      <w:proofErr w:type="gramEnd"/>
      <w:r w:rsidRPr="007601D4">
        <w:rPr>
          <w:rFonts w:cs="Times New Roman"/>
          <w:szCs w:val="24"/>
        </w:rPr>
        <w:t xml:space="preserve"> Europe.</w:t>
      </w:r>
    </w:p>
    <w:p w14:paraId="7EEAA01B" w14:textId="5FB23030" w:rsidR="00997382" w:rsidRPr="007601D4" w:rsidRDefault="00997382" w:rsidP="00997382">
      <w:pPr>
        <w:spacing w:line="360" w:lineRule="auto"/>
        <w:rPr>
          <w:rFonts w:cs="Times New Roman"/>
          <w:szCs w:val="24"/>
        </w:rPr>
      </w:pPr>
      <w:r w:rsidRPr="007601D4">
        <w:rPr>
          <w:rFonts w:cs="Times New Roman"/>
          <w:szCs w:val="24"/>
        </w:rPr>
        <w:lastRenderedPageBreak/>
        <w:t>During the reporting period, the RCC continued to support the development of the EU’s IISG framework, advancing its transition toward</w:t>
      </w:r>
      <w:r w:rsidR="00920F70">
        <w:rPr>
          <w:rFonts w:cs="Times New Roman"/>
          <w:szCs w:val="24"/>
        </w:rPr>
        <w:t>s</w:t>
      </w:r>
      <w:r w:rsidRPr="007601D4">
        <w:rPr>
          <w:rFonts w:cs="Times New Roman"/>
          <w:szCs w:val="24"/>
        </w:rPr>
        <w:t xml:space="preserve"> a more integrated regional approach through the establishment of a broader Security Governance Hub (SGH) under RCC auspices. This process aims to improve coordination among regional initiatives, reduce donor fragmentation, and strengthen policy coherence across key areas, including </w:t>
      </w:r>
      <w:proofErr w:type="gramStart"/>
      <w:r w:rsidRPr="007601D4">
        <w:rPr>
          <w:rFonts w:cs="Times New Roman"/>
          <w:szCs w:val="24"/>
        </w:rPr>
        <w:t>counter-terrorism</w:t>
      </w:r>
      <w:proofErr w:type="gramEnd"/>
      <w:r w:rsidRPr="007601D4">
        <w:rPr>
          <w:rFonts w:cs="Times New Roman"/>
          <w:szCs w:val="24"/>
        </w:rPr>
        <w:t>, organi</w:t>
      </w:r>
      <w:r w:rsidR="007601D4">
        <w:rPr>
          <w:rFonts w:cs="Times New Roman"/>
          <w:szCs w:val="24"/>
        </w:rPr>
        <w:t>s</w:t>
      </w:r>
      <w:r w:rsidRPr="007601D4">
        <w:rPr>
          <w:rFonts w:cs="Times New Roman"/>
          <w:szCs w:val="24"/>
        </w:rPr>
        <w:t>ed crime, border</w:t>
      </w:r>
      <w:r w:rsidR="00787D56">
        <w:rPr>
          <w:rFonts w:cs="Times New Roman"/>
          <w:szCs w:val="24"/>
        </w:rPr>
        <w:t>/boundary</w:t>
      </w:r>
      <w:r w:rsidRPr="007601D4">
        <w:rPr>
          <w:rFonts w:cs="Times New Roman"/>
          <w:szCs w:val="24"/>
        </w:rPr>
        <w:t xml:space="preserve"> security, and cyber threats, while supporting structured, evidence-based policy dialogue and practical cooperation in SEE under a more structural security platform.</w:t>
      </w:r>
    </w:p>
    <w:p w14:paraId="0A0D1935" w14:textId="19C19F9D" w:rsidR="00997382" w:rsidRPr="007601D4" w:rsidRDefault="00997382" w:rsidP="00997382">
      <w:pPr>
        <w:spacing w:line="360" w:lineRule="auto"/>
        <w:rPr>
          <w:rFonts w:cs="Times New Roman"/>
          <w:szCs w:val="24"/>
        </w:rPr>
      </w:pPr>
      <w:r w:rsidRPr="007601D4">
        <w:rPr>
          <w:rFonts w:cs="Times New Roman"/>
          <w:szCs w:val="24"/>
        </w:rPr>
        <w:t xml:space="preserve">Across its security cooperation portfolio, the RCC promoted a comprehensive approach to security, linking it to institutional trust, good governance, and sustainable development. By combining dialogue platforms such as </w:t>
      </w:r>
      <w:hyperlink r:id="rId102" w:history="1">
        <w:r w:rsidRPr="007601D4">
          <w:rPr>
            <w:rStyle w:val="Hyperlink"/>
            <w:rFonts w:cs="Times New Roman"/>
            <w:b/>
            <w:bCs/>
            <w:szCs w:val="24"/>
          </w:rPr>
          <w:t>JUMBO</w:t>
        </w:r>
      </w:hyperlink>
      <w:r w:rsidRPr="007601D4">
        <w:rPr>
          <w:rFonts w:cs="Times New Roman"/>
          <w:b/>
          <w:bCs/>
          <w:szCs w:val="24"/>
        </w:rPr>
        <w:t xml:space="preserve">, </w:t>
      </w:r>
      <w:hyperlink r:id="rId103" w:history="1">
        <w:r w:rsidRPr="007601D4">
          <w:rPr>
            <w:rStyle w:val="Hyperlink"/>
            <w:rFonts w:cs="Times New Roman"/>
            <w:b/>
            <w:bCs/>
            <w:szCs w:val="24"/>
          </w:rPr>
          <w:t>SEEMIC</w:t>
        </w:r>
      </w:hyperlink>
      <w:r w:rsidRPr="007601D4">
        <w:rPr>
          <w:rFonts w:cs="Times New Roman"/>
          <w:b/>
          <w:bCs/>
          <w:szCs w:val="24"/>
        </w:rPr>
        <w:t xml:space="preserve">, </w:t>
      </w:r>
      <w:r w:rsidRPr="007601D4">
        <w:rPr>
          <w:rFonts w:cs="Times New Roman"/>
          <w:szCs w:val="24"/>
        </w:rPr>
        <w:t xml:space="preserve">and </w:t>
      </w:r>
      <w:hyperlink r:id="rId104" w:history="1">
        <w:r w:rsidRPr="007601D4">
          <w:rPr>
            <w:rStyle w:val="Hyperlink"/>
            <w:rFonts w:cs="Times New Roman"/>
            <w:b/>
            <w:bCs/>
            <w:szCs w:val="24"/>
          </w:rPr>
          <w:t>SEENSA</w:t>
        </w:r>
      </w:hyperlink>
      <w:r w:rsidRPr="007601D4">
        <w:rPr>
          <w:rFonts w:cs="Times New Roman"/>
          <w:szCs w:val="24"/>
        </w:rPr>
        <w:t xml:space="preserve"> with analytical tools like </w:t>
      </w:r>
      <w:hyperlink r:id="rId105" w:history="1">
        <w:proofErr w:type="spellStart"/>
        <w:r w:rsidRPr="007601D4">
          <w:rPr>
            <w:rStyle w:val="Hyperlink"/>
            <w:rFonts w:cs="Times New Roman"/>
            <w:b/>
            <w:bCs/>
            <w:szCs w:val="24"/>
          </w:rPr>
          <w:t>SecuriMeter</w:t>
        </w:r>
        <w:proofErr w:type="spellEnd"/>
      </w:hyperlink>
      <w:r w:rsidRPr="007601D4">
        <w:rPr>
          <w:rFonts w:cs="Times New Roman"/>
          <w:szCs w:val="24"/>
        </w:rPr>
        <w:t>, the RCC contributes to stronger regional resilience and better understanding of security trends affecting citizens and institutions.</w:t>
      </w:r>
      <w:r w:rsidRPr="007601D4">
        <w:t xml:space="preserve"> </w:t>
      </w:r>
      <w:r w:rsidRPr="007601D4">
        <w:rPr>
          <w:rFonts w:cs="Times New Roman"/>
          <w:szCs w:val="24"/>
        </w:rPr>
        <w:t xml:space="preserve">These efforts support the implementation of the RCC Strategy and Work Programme 2026–2028, particularly its focus on resilience, institutional performance, and regional cooperation as key drivers of stability and development in </w:t>
      </w:r>
      <w:proofErr w:type="gramStart"/>
      <w:r w:rsidRPr="007601D4">
        <w:rPr>
          <w:rFonts w:cs="Times New Roman"/>
          <w:szCs w:val="24"/>
        </w:rPr>
        <w:t>South East</w:t>
      </w:r>
      <w:proofErr w:type="gramEnd"/>
      <w:r w:rsidRPr="007601D4">
        <w:rPr>
          <w:rFonts w:cs="Times New Roman"/>
          <w:szCs w:val="24"/>
        </w:rPr>
        <w:t xml:space="preserve"> Europe.</w:t>
      </w:r>
    </w:p>
    <w:p w14:paraId="376E53B1" w14:textId="77777777" w:rsidR="00030271" w:rsidRPr="007601D4" w:rsidRDefault="00AF7851" w:rsidP="0004382C">
      <w:pPr>
        <w:pStyle w:val="Heading1"/>
        <w:spacing w:line="360" w:lineRule="auto"/>
      </w:pPr>
      <w:bookmarkStart w:id="45" w:name="_Toc228451794"/>
      <w:r w:rsidRPr="007601D4">
        <w:t xml:space="preserve">C. </w:t>
      </w:r>
      <w:r w:rsidR="00030271" w:rsidRPr="007601D4">
        <w:t>Horizontal Activities</w:t>
      </w:r>
      <w:bookmarkEnd w:id="45"/>
    </w:p>
    <w:p w14:paraId="1E8D8B90" w14:textId="110CE04D" w:rsidR="004642CC" w:rsidRPr="007601D4" w:rsidRDefault="001C1D50" w:rsidP="0004382C">
      <w:pPr>
        <w:pStyle w:val="Heading2"/>
        <w:spacing w:line="360" w:lineRule="auto"/>
      </w:pPr>
      <w:bookmarkStart w:id="46" w:name="_Toc133825152"/>
      <w:bookmarkStart w:id="47" w:name="_Toc228451795"/>
      <w:r w:rsidRPr="007601D4">
        <w:t>C1. Programming, Monitoring, Coordination</w:t>
      </w:r>
      <w:bookmarkEnd w:id="46"/>
      <w:bookmarkEnd w:id="47"/>
    </w:p>
    <w:p w14:paraId="2B7DA5D3" w14:textId="414F4688" w:rsidR="00CA41FD" w:rsidRPr="007601D4" w:rsidRDefault="001B0678" w:rsidP="0004382C">
      <w:pPr>
        <w:spacing w:line="360" w:lineRule="auto"/>
      </w:pPr>
      <w:r w:rsidRPr="007601D4">
        <w:t xml:space="preserve">During the reporting period, RCC continued to coordinate implementation of the </w:t>
      </w:r>
      <w:r w:rsidRPr="007601D4">
        <w:rPr>
          <w:b/>
        </w:rPr>
        <w:t>CRM Action Plan 2025-2028 and the GAWB</w:t>
      </w:r>
      <w:r w:rsidRPr="007601D4">
        <w:t xml:space="preserve">, while ensuring continuity of support to the Berlin Process, including the transition from the United Kingdom’s 2025 host cycle to Montenegro’s 2026 Presidency. </w:t>
      </w:r>
      <w:r w:rsidR="00CA41FD" w:rsidRPr="007601D4">
        <w:t>CRM efforts focused on delivery through strengthened stakeholder coordination, regional policy dialogue, and improved monitoring and accountability.</w:t>
      </w:r>
    </w:p>
    <w:p w14:paraId="1D2EEECD" w14:textId="23FBB4B4" w:rsidR="001B0678" w:rsidRPr="007601D4" w:rsidRDefault="001B0678" w:rsidP="0004382C">
      <w:pPr>
        <w:spacing w:line="360" w:lineRule="auto"/>
      </w:pPr>
      <w:r w:rsidRPr="007601D4">
        <w:t xml:space="preserve">Under the annual </w:t>
      </w:r>
      <w:r w:rsidRPr="007601D4">
        <w:rPr>
          <w:b/>
        </w:rPr>
        <w:t>Prime Ministers’ Sherpas consultation process</w:t>
      </w:r>
      <w:r w:rsidRPr="007601D4">
        <w:t xml:space="preserve">, </w:t>
      </w:r>
      <w:r w:rsidR="0015559F" w:rsidRPr="007601D4">
        <w:t xml:space="preserve">the </w:t>
      </w:r>
      <w:r w:rsidRPr="007601D4">
        <w:t>RCC convened a series of high-level meetings t</w:t>
      </w:r>
      <w:r w:rsidR="002C7180" w:rsidRPr="007601D4">
        <w:t>o</w:t>
      </w:r>
      <w:r w:rsidRPr="007601D4">
        <w:t xml:space="preserve"> reinforce coordination among the WB6, regional partners and the </w:t>
      </w:r>
      <w:r w:rsidR="005F1841" w:rsidRPr="007601D4">
        <w:t>EC</w:t>
      </w:r>
      <w:r w:rsidRPr="007601D4">
        <w:t xml:space="preserve">. Key consultations were held </w:t>
      </w:r>
      <w:r w:rsidR="002C7180" w:rsidRPr="007601D4">
        <w:t>o</w:t>
      </w:r>
      <w:r w:rsidRPr="007601D4">
        <w:t xml:space="preserve">n 18 June 2025 </w:t>
      </w:r>
      <w:r w:rsidR="002C7180" w:rsidRPr="007601D4">
        <w:t xml:space="preserve">in Vienna </w:t>
      </w:r>
      <w:r w:rsidRPr="007601D4">
        <w:t>and on 30 September 2025</w:t>
      </w:r>
      <w:r w:rsidR="002C7180" w:rsidRPr="007601D4">
        <w:t xml:space="preserve"> in Skopje</w:t>
      </w:r>
      <w:r w:rsidRPr="007601D4">
        <w:t xml:space="preserve">, complemented by online </w:t>
      </w:r>
      <w:r w:rsidR="00776D20" w:rsidRPr="007601D4">
        <w:t>consultations</w:t>
      </w:r>
      <w:r w:rsidRPr="007601D4">
        <w:t xml:space="preserve"> that helped shape the 2025 Berlin Process deliverables and </w:t>
      </w:r>
      <w:r w:rsidR="000810A4" w:rsidRPr="007601D4">
        <w:t>assess</w:t>
      </w:r>
      <w:r w:rsidRPr="007601D4">
        <w:t xml:space="preserve"> CRM </w:t>
      </w:r>
      <w:r w:rsidR="000810A4" w:rsidRPr="007601D4">
        <w:t>progress</w:t>
      </w:r>
      <w:r w:rsidRPr="007601D4">
        <w:t>.</w:t>
      </w:r>
    </w:p>
    <w:p w14:paraId="399D3CEA" w14:textId="0A5017B0" w:rsidR="00BC6C36" w:rsidRPr="007601D4" w:rsidRDefault="00BC6C36" w:rsidP="0004382C">
      <w:pPr>
        <w:spacing w:line="360" w:lineRule="auto"/>
      </w:pPr>
      <w:r w:rsidRPr="007601D4">
        <w:t xml:space="preserve">In preparation for the Berlin Process Summit hosted by the United Kingdom on 22 October 2025, the RCC coordinated consultations with </w:t>
      </w:r>
      <w:r w:rsidR="00F76D74" w:rsidRPr="007601D4">
        <w:t xml:space="preserve">Prime Ministers’ </w:t>
      </w:r>
      <w:r w:rsidRPr="007601D4">
        <w:t xml:space="preserve">Sherpas, regional </w:t>
      </w:r>
      <w:r w:rsidRPr="007601D4">
        <w:lastRenderedPageBreak/>
        <w:t xml:space="preserve">organisations, and the </w:t>
      </w:r>
      <w:r w:rsidR="005F1841" w:rsidRPr="007601D4">
        <w:t>EC</w:t>
      </w:r>
      <w:r w:rsidRPr="007601D4">
        <w:t>, facilitating a package of 15 deliverables endorsed by WB6 leaders. The endorsed deliverables were:</w:t>
      </w:r>
    </w:p>
    <w:p w14:paraId="10B2330F" w14:textId="57D6E0AC" w:rsidR="001B0678" w:rsidRPr="007601D4" w:rsidRDefault="001B0678" w:rsidP="0004382C">
      <w:pPr>
        <w:spacing w:line="360" w:lineRule="auto"/>
        <w:ind w:left="720"/>
      </w:pPr>
      <w:r w:rsidRPr="007601D4">
        <w:t xml:space="preserve">1. </w:t>
      </w:r>
      <w:hyperlink r:id="rId106" w:history="1">
        <w:r w:rsidRPr="007601D4">
          <w:rPr>
            <w:rStyle w:val="Hyperlink"/>
          </w:rPr>
          <w:t>Declaration on the Coordination of Social Security Systems and Portability of Rights in the Western Balkans Six;</w:t>
        </w:r>
      </w:hyperlink>
    </w:p>
    <w:p w14:paraId="1F5D8DA2" w14:textId="37412CBA" w:rsidR="001B0678" w:rsidRPr="007601D4" w:rsidRDefault="001B0678" w:rsidP="0004382C">
      <w:pPr>
        <w:spacing w:line="360" w:lineRule="auto"/>
        <w:ind w:left="720"/>
      </w:pPr>
      <w:r w:rsidRPr="007601D4">
        <w:t xml:space="preserve">2. </w:t>
      </w:r>
      <w:hyperlink r:id="rId107" w:history="1">
        <w:r w:rsidRPr="007601D4">
          <w:rPr>
            <w:rStyle w:val="Hyperlink"/>
          </w:rPr>
          <w:t>Western Balkans Six Green Bond Standard</w:t>
        </w:r>
      </w:hyperlink>
      <w:r w:rsidRPr="007601D4">
        <w:t>;</w:t>
      </w:r>
    </w:p>
    <w:p w14:paraId="630F48C1" w14:textId="5BB1E6F7" w:rsidR="001B0678" w:rsidRPr="007601D4" w:rsidRDefault="001B0678" w:rsidP="0004382C">
      <w:pPr>
        <w:spacing w:line="360" w:lineRule="auto"/>
        <w:ind w:left="720"/>
      </w:pPr>
      <w:r w:rsidRPr="007601D4">
        <w:t xml:space="preserve">3. </w:t>
      </w:r>
      <w:hyperlink r:id="rId108" w:history="1">
        <w:r w:rsidRPr="007601D4">
          <w:rPr>
            <w:rStyle w:val="Hyperlink"/>
          </w:rPr>
          <w:t>Whitelist of the Sustainable Finance Taxonomy for the Western Balkans Six</w:t>
        </w:r>
      </w:hyperlink>
      <w:r w:rsidRPr="007601D4">
        <w:t>;</w:t>
      </w:r>
    </w:p>
    <w:p w14:paraId="5C670A33" w14:textId="7AB5B92B" w:rsidR="001B0678" w:rsidRPr="007601D4" w:rsidRDefault="001B0678" w:rsidP="0004382C">
      <w:pPr>
        <w:spacing w:line="360" w:lineRule="auto"/>
        <w:ind w:left="720"/>
      </w:pPr>
      <w:r w:rsidRPr="007601D4">
        <w:t xml:space="preserve">4. </w:t>
      </w:r>
      <w:hyperlink r:id="rId109" w:history="1">
        <w:r w:rsidRPr="007601D4">
          <w:rPr>
            <w:rStyle w:val="Hyperlink"/>
          </w:rPr>
          <w:t>Regional Financial Literacy Framework for Individuals</w:t>
        </w:r>
      </w:hyperlink>
      <w:r w:rsidRPr="007601D4">
        <w:t>;</w:t>
      </w:r>
    </w:p>
    <w:p w14:paraId="77FF2A8E" w14:textId="2919C2FF" w:rsidR="001B0678" w:rsidRPr="007601D4" w:rsidRDefault="001B0678" w:rsidP="0004382C">
      <w:pPr>
        <w:spacing w:line="360" w:lineRule="auto"/>
        <w:ind w:left="720"/>
      </w:pPr>
      <w:r w:rsidRPr="007601D4">
        <w:t xml:space="preserve">5. </w:t>
      </w:r>
      <w:hyperlink r:id="rId110" w:history="1">
        <w:r w:rsidRPr="007601D4">
          <w:rPr>
            <w:rStyle w:val="Hyperlink"/>
          </w:rPr>
          <w:t>Recommendation on Sustainable Foreign Direct Investment in the Western Balkans Six</w:t>
        </w:r>
      </w:hyperlink>
      <w:r w:rsidRPr="007601D4">
        <w:t>;</w:t>
      </w:r>
    </w:p>
    <w:p w14:paraId="1310763C" w14:textId="0F2D5131" w:rsidR="001B0678" w:rsidRPr="007601D4" w:rsidRDefault="001B0678" w:rsidP="0004382C">
      <w:pPr>
        <w:spacing w:line="360" w:lineRule="auto"/>
        <w:ind w:left="720"/>
      </w:pPr>
      <w:r w:rsidRPr="007601D4">
        <w:t xml:space="preserve">6. </w:t>
      </w:r>
      <w:hyperlink r:id="rId111" w:history="1">
        <w:r w:rsidRPr="007601D4">
          <w:rPr>
            <w:rStyle w:val="Hyperlink"/>
          </w:rPr>
          <w:t>Sustainable Foreign Direct Investment Policy Toolkit for the Western Balkans Six</w:t>
        </w:r>
      </w:hyperlink>
      <w:r w:rsidRPr="007601D4">
        <w:t>;</w:t>
      </w:r>
    </w:p>
    <w:p w14:paraId="79949DF5" w14:textId="0D9F7625" w:rsidR="001B0678" w:rsidRPr="007601D4" w:rsidRDefault="001B0678" w:rsidP="0004382C">
      <w:pPr>
        <w:spacing w:line="360" w:lineRule="auto"/>
        <w:ind w:left="720"/>
      </w:pPr>
      <w:r w:rsidRPr="007601D4">
        <w:t xml:space="preserve">7. </w:t>
      </w:r>
      <w:hyperlink r:id="rId112" w:history="1">
        <w:r w:rsidRPr="007601D4">
          <w:rPr>
            <w:rStyle w:val="Hyperlink"/>
          </w:rPr>
          <w:t>Regional Model Clauses on Sustainability</w:t>
        </w:r>
      </w:hyperlink>
      <w:r w:rsidRPr="007601D4">
        <w:t>;</w:t>
      </w:r>
    </w:p>
    <w:p w14:paraId="557CA8C1" w14:textId="53E3BB78" w:rsidR="001B0678" w:rsidRPr="007601D4" w:rsidRDefault="001B0678" w:rsidP="0004382C">
      <w:pPr>
        <w:spacing w:line="360" w:lineRule="auto"/>
        <w:ind w:left="720"/>
      </w:pPr>
      <w:r w:rsidRPr="007601D4">
        <w:t xml:space="preserve">8. </w:t>
      </w:r>
      <w:hyperlink r:id="rId113" w:history="1">
        <w:r w:rsidRPr="007601D4">
          <w:rPr>
            <w:rStyle w:val="Hyperlink"/>
          </w:rPr>
          <w:t>Joint Principles for Investment Facilitation in the Western Balkans Six</w:t>
        </w:r>
      </w:hyperlink>
      <w:r w:rsidRPr="007601D4">
        <w:t>;</w:t>
      </w:r>
    </w:p>
    <w:p w14:paraId="2A62CB8E" w14:textId="75C6275A" w:rsidR="001B0678" w:rsidRPr="007601D4" w:rsidRDefault="001B0678" w:rsidP="0004382C">
      <w:pPr>
        <w:spacing w:line="360" w:lineRule="auto"/>
        <w:ind w:left="720"/>
      </w:pPr>
      <w:r w:rsidRPr="007601D4">
        <w:t xml:space="preserve">9. </w:t>
      </w:r>
      <w:hyperlink r:id="rId114" w:history="1">
        <w:r w:rsidRPr="007601D4">
          <w:rPr>
            <w:rStyle w:val="Hyperlink"/>
          </w:rPr>
          <w:t>Declaration on Western Balkans Six Tourism Branding;</w:t>
        </w:r>
      </w:hyperlink>
    </w:p>
    <w:p w14:paraId="2B27DF74" w14:textId="41C51322" w:rsidR="001B0678" w:rsidRPr="007601D4" w:rsidRDefault="001B0678" w:rsidP="0004382C">
      <w:pPr>
        <w:spacing w:line="360" w:lineRule="auto"/>
        <w:ind w:left="720"/>
      </w:pPr>
      <w:r w:rsidRPr="007601D4">
        <w:t xml:space="preserve">10. </w:t>
      </w:r>
      <w:hyperlink r:id="rId115" w:history="1">
        <w:r w:rsidRPr="007601D4">
          <w:rPr>
            <w:rStyle w:val="Hyperlink"/>
          </w:rPr>
          <w:t>Joint Statement on the Development and Adoption of Regional Green Public Procurement Criteria in the Western Balkans Six</w:t>
        </w:r>
      </w:hyperlink>
      <w:r w:rsidRPr="007601D4">
        <w:t>;</w:t>
      </w:r>
    </w:p>
    <w:p w14:paraId="33B428F4" w14:textId="7E935267" w:rsidR="001B0678" w:rsidRPr="007601D4" w:rsidRDefault="001B0678" w:rsidP="0004382C">
      <w:pPr>
        <w:spacing w:line="360" w:lineRule="auto"/>
        <w:ind w:left="720"/>
      </w:pPr>
      <w:r w:rsidRPr="007601D4">
        <w:t xml:space="preserve">11. </w:t>
      </w:r>
      <w:hyperlink r:id="rId116" w:history="1">
        <w:r w:rsidRPr="007601D4">
          <w:rPr>
            <w:rStyle w:val="Hyperlink"/>
          </w:rPr>
          <w:t>Joint Call for Action on Gender-Responsive Green Finance and accompanying recommendations</w:t>
        </w:r>
      </w:hyperlink>
      <w:r w:rsidRPr="007601D4">
        <w:t>;</w:t>
      </w:r>
    </w:p>
    <w:p w14:paraId="2193DAE1" w14:textId="30034F37" w:rsidR="001B0678" w:rsidRPr="007601D4" w:rsidRDefault="001B0678" w:rsidP="0004382C">
      <w:pPr>
        <w:spacing w:line="360" w:lineRule="auto"/>
        <w:ind w:left="720"/>
      </w:pPr>
      <w:r w:rsidRPr="007601D4">
        <w:t xml:space="preserve">12. </w:t>
      </w:r>
      <w:hyperlink r:id="rId117" w:history="1">
        <w:r w:rsidRPr="007601D4">
          <w:rPr>
            <w:rStyle w:val="Hyperlink"/>
          </w:rPr>
          <w:t>Revised Green Agenda for the Western Balkans Action Plan (2025–2030);</w:t>
        </w:r>
      </w:hyperlink>
    </w:p>
    <w:p w14:paraId="4040B318" w14:textId="149C5133" w:rsidR="001B0678" w:rsidRPr="007601D4" w:rsidRDefault="001B0678" w:rsidP="0004382C">
      <w:pPr>
        <w:spacing w:line="360" w:lineRule="auto"/>
        <w:ind w:left="720"/>
      </w:pPr>
      <w:r w:rsidRPr="007601D4">
        <w:t xml:space="preserve">13. </w:t>
      </w:r>
      <w:hyperlink r:id="rId118" w:history="1">
        <w:r w:rsidRPr="007601D4">
          <w:rPr>
            <w:rStyle w:val="Hyperlink"/>
          </w:rPr>
          <w:t>WB6 Climate Adaptation Roadmap</w:t>
        </w:r>
      </w:hyperlink>
      <w:r w:rsidRPr="007601D4">
        <w:t>;</w:t>
      </w:r>
    </w:p>
    <w:p w14:paraId="0D2372E5" w14:textId="6FB1DD26" w:rsidR="001B0678" w:rsidRPr="007601D4" w:rsidRDefault="001B0678" w:rsidP="0004382C">
      <w:pPr>
        <w:spacing w:line="360" w:lineRule="auto"/>
        <w:ind w:left="720"/>
      </w:pPr>
      <w:r w:rsidRPr="007601D4">
        <w:t xml:space="preserve">14. </w:t>
      </w:r>
      <w:hyperlink r:id="rId119" w:history="1">
        <w:r w:rsidRPr="007601D4">
          <w:rPr>
            <w:rStyle w:val="Hyperlink"/>
          </w:rPr>
          <w:t>Regional Action Plan for the Implementation of the Joint Statement on Plastic Pollution Prevention, including Marine Litter</w:t>
        </w:r>
      </w:hyperlink>
      <w:r w:rsidRPr="007601D4">
        <w:t>; and</w:t>
      </w:r>
    </w:p>
    <w:p w14:paraId="23FB6022" w14:textId="7EBFD60D" w:rsidR="001B0678" w:rsidRPr="007601D4" w:rsidRDefault="001B0678" w:rsidP="0004382C">
      <w:pPr>
        <w:spacing w:line="360" w:lineRule="auto"/>
        <w:ind w:left="720"/>
      </w:pPr>
      <w:r w:rsidRPr="007601D4">
        <w:t xml:space="preserve">15. </w:t>
      </w:r>
      <w:hyperlink r:id="rId120" w:history="1">
        <w:r w:rsidRPr="007601D4">
          <w:rPr>
            <w:rStyle w:val="Hyperlink"/>
          </w:rPr>
          <w:t>Dubrovnik Declaration on the Green Agenda for the Western Balkans.</w:t>
        </w:r>
      </w:hyperlink>
    </w:p>
    <w:p w14:paraId="0AC215EA" w14:textId="7F280C0F" w:rsidR="005230D6" w:rsidRPr="007601D4" w:rsidRDefault="005230D6" w:rsidP="0004382C">
      <w:pPr>
        <w:spacing w:line="360" w:lineRule="auto"/>
      </w:pPr>
      <w:r w:rsidRPr="007601D4">
        <w:lastRenderedPageBreak/>
        <w:t>These deliverables advanced labour mobility, sustainable finance, investment facilitation, tourism cooperation, green public procurement, and implementation of the revised GAWB framework, while reinforcing the broader objectives of the CRM and the EU Growth Plan.</w:t>
      </w:r>
    </w:p>
    <w:p w14:paraId="11719B86" w14:textId="34151BDC" w:rsidR="006B319A" w:rsidRPr="007601D4" w:rsidRDefault="006B319A" w:rsidP="0004382C">
      <w:pPr>
        <w:spacing w:line="360" w:lineRule="auto"/>
      </w:pPr>
      <w:r w:rsidRPr="007601D4">
        <w:t>The RCC also launched the 11</w:t>
      </w:r>
      <w:r w:rsidRPr="00677087">
        <w:rPr>
          <w:vertAlign w:val="superscript"/>
        </w:rPr>
        <w:t>th</w:t>
      </w:r>
      <w:r w:rsidRPr="007601D4">
        <w:t xml:space="preserve"> edition of the </w:t>
      </w:r>
      <w:hyperlink r:id="rId121" w:history="1">
        <w:r w:rsidRPr="007601D4">
          <w:rPr>
            <w:rStyle w:val="Hyperlink"/>
            <w:b/>
            <w:bCs/>
          </w:rPr>
          <w:t>Balkan Barometer</w:t>
        </w:r>
      </w:hyperlink>
      <w:r w:rsidR="00B42AA2" w:rsidRPr="007601D4">
        <w:t xml:space="preserve"> </w:t>
      </w:r>
      <w:r w:rsidRPr="007601D4">
        <w:t>Public and Business Opinion Surveys</w:t>
      </w:r>
      <w:r w:rsidR="00B42AA2" w:rsidRPr="007601D4">
        <w:t xml:space="preserve"> </w:t>
      </w:r>
      <w:r w:rsidRPr="007601D4">
        <w:t xml:space="preserve">on 11 December 2025 in Brussels. The findings showed record-high support for EU membership, increasing from 54% to 64%, while a new indicator revealed that 64% of respondents believe regional cooperation can improve economic conditions across the WB6. The Barometer remains </w:t>
      </w:r>
      <w:r w:rsidR="003269AA" w:rsidRPr="007601D4">
        <w:t>key evidence</w:t>
      </w:r>
      <w:r w:rsidRPr="007601D4">
        <w:t xml:space="preserve"> base for policy dialogue under the Berlin Process and the CRM.</w:t>
      </w:r>
    </w:p>
    <w:p w14:paraId="5B5F393E" w14:textId="28DA87E3" w:rsidR="00EC6019" w:rsidRPr="007601D4" w:rsidRDefault="00EC6019" w:rsidP="0004382C">
      <w:pPr>
        <w:spacing w:line="360" w:lineRule="auto"/>
      </w:pPr>
      <w:r w:rsidRPr="007601D4">
        <w:t>To strengthen implementation oversight, the RCC advanced the CRM Monitoring Tool as a structured data-driven mechanism for tracking progress across CRM pillars. Developed with CEFTA, the WB6 Chamber Investment Forum, the Transport Community, and the Energy Community, the tool introduces indicators at impact, outcome, and output levels, enhancing evidence-based reporting, transparency, and accountability.</w:t>
      </w:r>
    </w:p>
    <w:p w14:paraId="69DE1080" w14:textId="2BE16D95" w:rsidR="0014331F" w:rsidRPr="007601D4" w:rsidRDefault="0014331F" w:rsidP="0004382C">
      <w:pPr>
        <w:spacing w:line="360" w:lineRule="auto"/>
      </w:pPr>
      <w:r w:rsidRPr="007601D4">
        <w:t xml:space="preserve">The RCC organised three in-person meetings in Brussels, Vienna, and Skopje, alongside four online consultations with Prime Ministers’ Sherpas, regional organisations, and the </w:t>
      </w:r>
      <w:r w:rsidR="005F1841" w:rsidRPr="007601D4">
        <w:t>EC</w:t>
      </w:r>
      <w:r w:rsidRPr="007601D4">
        <w:t xml:space="preserve">. It also convened the </w:t>
      </w:r>
      <w:r w:rsidRPr="007601D4">
        <w:rPr>
          <w:b/>
          <w:bCs/>
        </w:rPr>
        <w:t xml:space="preserve">Coordination Meeting of Western Balkans Regional Organisations </w:t>
      </w:r>
      <w:r w:rsidRPr="007601D4">
        <w:t>on 11 December 2025 in Brussels, reviewing outcomes of the 2025 Berlin Process cycle, initiating consultations on 2026 deliverables, and identifying priority coordination needs</w:t>
      </w:r>
      <w:r w:rsidR="00617FE7" w:rsidRPr="007601D4">
        <w:t xml:space="preserve"> for the year ahead</w:t>
      </w:r>
      <w:r w:rsidRPr="007601D4">
        <w:t>.</w:t>
      </w:r>
    </w:p>
    <w:p w14:paraId="33A9BF87" w14:textId="32CDE42B" w:rsidR="009A614F" w:rsidRPr="007601D4" w:rsidRDefault="009A614F" w:rsidP="0004382C">
      <w:pPr>
        <w:spacing w:line="360" w:lineRule="auto"/>
      </w:pPr>
      <w:r w:rsidRPr="007601D4">
        <w:t xml:space="preserve">On 26 February 2026, the </w:t>
      </w:r>
      <w:r w:rsidRPr="007601D4">
        <w:rPr>
          <w:b/>
          <w:bCs/>
        </w:rPr>
        <w:t>WB6 Prime Ministers’ Sherpas</w:t>
      </w:r>
      <w:r w:rsidRPr="007601D4">
        <w:t xml:space="preserve"> met in Brussels to review progress under the 2025 cycle, agree on priority deliverables for 2026, and strengthen coordination on key CRM initiatives. The meeting also introduced the CRM Monitoring Tool as a practical instrument for tracking progress and supporting evidence-based decision-making.</w:t>
      </w:r>
    </w:p>
    <w:p w14:paraId="05FF7B56" w14:textId="38D79F85" w:rsidR="009801D6" w:rsidRPr="007601D4" w:rsidRDefault="009801D6" w:rsidP="0004382C">
      <w:pPr>
        <w:spacing w:line="360" w:lineRule="auto"/>
        <w:rPr>
          <w:rFonts w:cs="Times New Roman"/>
          <w:szCs w:val="24"/>
        </w:rPr>
      </w:pPr>
      <w:r w:rsidRPr="007601D4">
        <w:t xml:space="preserve">In April 2026, the RCC developed the initial concept for a new EC-funded Action Grant, forming the basis for discussions with DG ENEST </w:t>
      </w:r>
    </w:p>
    <w:p w14:paraId="3929ED88" w14:textId="77777777" w:rsidR="00374532" w:rsidRPr="007601D4" w:rsidRDefault="001C1D50" w:rsidP="0004382C">
      <w:pPr>
        <w:pStyle w:val="Heading2"/>
        <w:spacing w:line="360" w:lineRule="auto"/>
      </w:pPr>
      <w:bookmarkStart w:id="48" w:name="_Toc133825154"/>
      <w:bookmarkStart w:id="49" w:name="_Toc228451796"/>
      <w:r w:rsidRPr="007601D4">
        <w:t>C</w:t>
      </w:r>
      <w:r w:rsidR="00563FFB" w:rsidRPr="007601D4">
        <w:t>2</w:t>
      </w:r>
      <w:r w:rsidRPr="007601D4">
        <w:t>. Communication</w:t>
      </w:r>
      <w:bookmarkEnd w:id="48"/>
      <w:bookmarkEnd w:id="49"/>
      <w:r w:rsidRPr="007601D4">
        <w:t xml:space="preserve"> </w:t>
      </w:r>
    </w:p>
    <w:p w14:paraId="127DBC0C" w14:textId="77777777" w:rsidR="00A67819" w:rsidRPr="007601D4" w:rsidRDefault="00A67819" w:rsidP="0004382C">
      <w:pPr>
        <w:spacing w:line="360" w:lineRule="auto"/>
        <w:rPr>
          <w:rFonts w:cs="Times New Roman"/>
          <w:b/>
          <w:szCs w:val="24"/>
        </w:rPr>
      </w:pPr>
      <w:r w:rsidRPr="007601D4">
        <w:rPr>
          <w:rFonts w:cs="Times New Roman"/>
          <w:b/>
          <w:szCs w:val="24"/>
        </w:rPr>
        <w:t>Strengthening Trust, Visibility and Relevance of Regional Cooperation</w:t>
      </w:r>
    </w:p>
    <w:p w14:paraId="323FE8E2" w14:textId="5A353E1A" w:rsidR="00A67819" w:rsidRPr="007601D4" w:rsidRDefault="00A67819" w:rsidP="0004382C">
      <w:pPr>
        <w:spacing w:line="360" w:lineRule="auto"/>
        <w:rPr>
          <w:rFonts w:cs="Times New Roman"/>
          <w:szCs w:val="24"/>
        </w:rPr>
      </w:pPr>
      <w:r w:rsidRPr="007601D4">
        <w:rPr>
          <w:rFonts w:cs="Times New Roman"/>
          <w:szCs w:val="24"/>
        </w:rPr>
        <w:lastRenderedPageBreak/>
        <w:t>During the reporting</w:t>
      </w:r>
      <w:r w:rsidR="00CF0985">
        <w:rPr>
          <w:rFonts w:cs="Times New Roman"/>
          <w:szCs w:val="24"/>
        </w:rPr>
        <w:t xml:space="preserve"> period</w:t>
      </w:r>
      <w:r w:rsidRPr="007601D4">
        <w:rPr>
          <w:rFonts w:cs="Times New Roman"/>
          <w:szCs w:val="24"/>
        </w:rPr>
        <w:t xml:space="preserve">, RCC communication efforts continued to evolve in line with the Strategy and Work Programme of the organisation, focusing on reinforcing RCC’s role as a convening platform and a trusted regional actor in </w:t>
      </w:r>
      <w:proofErr w:type="gramStart"/>
      <w:r w:rsidRPr="007601D4">
        <w:rPr>
          <w:rFonts w:cs="Times New Roman"/>
          <w:szCs w:val="24"/>
        </w:rPr>
        <w:t>South East</w:t>
      </w:r>
      <w:proofErr w:type="gramEnd"/>
      <w:r w:rsidRPr="007601D4">
        <w:rPr>
          <w:rFonts w:cs="Times New Roman"/>
          <w:szCs w:val="24"/>
        </w:rPr>
        <w:t xml:space="preserve"> Europe. Communication was not only a tool for visibility, but an integral part of delivering RCC’s mandate, building trust, strengthening ownership of regional cooperation, and translating complex regional agendas into tangible, people-oriented narratives.</w:t>
      </w:r>
    </w:p>
    <w:p w14:paraId="2119BCA5" w14:textId="1DFC9C30" w:rsidR="00A67819" w:rsidRPr="007601D4" w:rsidRDefault="00A67819" w:rsidP="0004382C">
      <w:pPr>
        <w:spacing w:line="360" w:lineRule="auto"/>
        <w:rPr>
          <w:rFonts w:cs="Times New Roman"/>
          <w:szCs w:val="24"/>
        </w:rPr>
      </w:pPr>
      <w:r w:rsidRPr="003219DC">
        <w:rPr>
          <w:rFonts w:cs="Times New Roman"/>
          <w:szCs w:val="24"/>
        </w:rPr>
        <w:t>At a time of growing</w:t>
      </w:r>
      <w:r w:rsidRPr="007601D4">
        <w:rPr>
          <w:rFonts w:cs="Times New Roman"/>
          <w:szCs w:val="24"/>
        </w:rPr>
        <w:t xml:space="preserve"> geopolitical uncertainty and shifting global dynamics, communication placed stronger emphasis on positioning regional cooperation as a practical necessity. RCC’s narratives increasingly highlighted how cooperation delivers stability, economic opportunity, and resilience, while connecting key regional frameworks such as the SEECP, the SEE2030 Strategy, CRM, and the Green Agenda for the Western Balkans. Through this approach, RCC further reinforced its role as a bridge between regional priorities and European integration pathways, ensuring coherence across agendas and stakeholders.</w:t>
      </w:r>
    </w:p>
    <w:p w14:paraId="482BC0CD" w14:textId="77777777" w:rsidR="00A67819" w:rsidRPr="007601D4" w:rsidRDefault="00A67819" w:rsidP="0004382C">
      <w:pPr>
        <w:spacing w:line="360" w:lineRule="auto"/>
        <w:rPr>
          <w:rFonts w:cs="Times New Roman"/>
          <w:szCs w:val="24"/>
        </w:rPr>
      </w:pPr>
      <w:r w:rsidRPr="007601D4">
        <w:rPr>
          <w:rFonts w:cs="Times New Roman"/>
          <w:szCs w:val="24"/>
        </w:rPr>
        <w:t xml:space="preserve">A more strategic and integrated storytelling approach was applied across all channels. Communication focused on demonstrating impact through concrete examples, from mobility and economic integration to green and digital transitions and security cooperation, while maintaining clarity, relatability, and relevance for diverse audiences. </w:t>
      </w:r>
      <w:proofErr w:type="gramStart"/>
      <w:r w:rsidRPr="007601D4">
        <w:rPr>
          <w:rFonts w:cs="Times New Roman"/>
          <w:szCs w:val="24"/>
        </w:rPr>
        <w:t>Particular attention</w:t>
      </w:r>
      <w:proofErr w:type="gramEnd"/>
      <w:r w:rsidRPr="007601D4">
        <w:rPr>
          <w:rFonts w:cs="Times New Roman"/>
          <w:szCs w:val="24"/>
        </w:rPr>
        <w:t xml:space="preserve"> was given to human-centred narratives that translate policy achievements into everyday benefits for citizens across </w:t>
      </w:r>
      <w:proofErr w:type="gramStart"/>
      <w:r w:rsidRPr="007601D4">
        <w:rPr>
          <w:rFonts w:cs="Times New Roman"/>
          <w:szCs w:val="24"/>
        </w:rPr>
        <w:t>South East</w:t>
      </w:r>
      <w:proofErr w:type="gramEnd"/>
      <w:r w:rsidRPr="007601D4">
        <w:rPr>
          <w:rFonts w:cs="Times New Roman"/>
          <w:szCs w:val="24"/>
        </w:rPr>
        <w:t xml:space="preserve"> Europe, strengthening both public understanding and institutional support.</w:t>
      </w:r>
    </w:p>
    <w:p w14:paraId="273729CF" w14:textId="59E00772" w:rsidR="00A67819" w:rsidRPr="007601D4" w:rsidRDefault="00A67819" w:rsidP="0004382C">
      <w:pPr>
        <w:spacing w:line="360" w:lineRule="auto"/>
        <w:rPr>
          <w:rFonts w:cs="Times New Roman"/>
          <w:szCs w:val="24"/>
        </w:rPr>
      </w:pPr>
      <w:r w:rsidRPr="007601D4">
        <w:rPr>
          <w:rFonts w:cs="Times New Roman"/>
          <w:szCs w:val="24"/>
        </w:rPr>
        <w:t xml:space="preserve">Digital communication remained central to RCC outreach. Over the reporting period, RCC published more than 70 news items and more than a dozen of interviews and articles, while generating over 5,000 media reports across regional and international outlets, reflecting sustained visibility and strong media engagement. The RCC website attracted over 172,000 users, generating more than 600,000 visits and over 608,000 views. Traffic was largely driven by direct access and organic search, indicating strong brand recognition and improved discoverability. Content related to flagship initiatives, Balkan Barometer, </w:t>
      </w:r>
      <w:proofErr w:type="spellStart"/>
      <w:r w:rsidRPr="007601D4">
        <w:rPr>
          <w:rFonts w:cs="Times New Roman"/>
          <w:szCs w:val="24"/>
        </w:rPr>
        <w:t>SecuritMeter</w:t>
      </w:r>
      <w:proofErr w:type="spellEnd"/>
      <w:r w:rsidRPr="007601D4">
        <w:rPr>
          <w:rFonts w:cs="Times New Roman"/>
          <w:szCs w:val="24"/>
        </w:rPr>
        <w:t>, Regional Butterfly Award, et</w:t>
      </w:r>
      <w:r w:rsidR="00D36213">
        <w:rPr>
          <w:rFonts w:cs="Times New Roman"/>
          <w:szCs w:val="24"/>
        </w:rPr>
        <w:t>c.</w:t>
      </w:r>
      <w:r w:rsidRPr="007601D4">
        <w:rPr>
          <w:rFonts w:cs="Times New Roman"/>
          <w:szCs w:val="24"/>
        </w:rPr>
        <w:t xml:space="preserve"> as well as open calls and opportunities, proved especially effective in attracting user attention.</w:t>
      </w:r>
    </w:p>
    <w:p w14:paraId="12E3FC67" w14:textId="77777777" w:rsidR="00A67819" w:rsidRPr="007601D4" w:rsidRDefault="00A67819" w:rsidP="0004382C">
      <w:pPr>
        <w:spacing w:line="360" w:lineRule="auto"/>
        <w:rPr>
          <w:rFonts w:cs="Times New Roman"/>
          <w:szCs w:val="24"/>
        </w:rPr>
      </w:pPr>
      <w:r w:rsidRPr="007601D4">
        <w:rPr>
          <w:rFonts w:cs="Times New Roman"/>
          <w:szCs w:val="24"/>
        </w:rPr>
        <w:lastRenderedPageBreak/>
        <w:t>Social media performance demonstrated both scale and depth of engagement. Facebook remained the leading platform, generating 10.9 million views and significantly increasing audience interaction, with over 12,700 engagements and 12,200 link clicks, reflecting stronger content-to-action conversion. Instagram continued to expand RCC’s reach, achieving 3.7 million views and reaching 1.4 million users beyond the existing follower base, while maintaining strong engagement levels. LinkedIn strengthened RCC’s professional outreach with 291,000 impressions and nearly 7,000 reactions, supporting engagement with institutional stakeholders and partners. On X, content generated over 96,000 impressions and sustained interaction within a targeted audience. YouTube recorded over 39,000 views and nearly 144 hours of watch time, with a significant share of traffic coming from search, highlighting the relevance and longevity of RCC video content. TikTok, while still developing, showed growing potential, particularly through content sharing and organic reach.</w:t>
      </w:r>
    </w:p>
    <w:p w14:paraId="4A10696B" w14:textId="77777777" w:rsidR="00A67819" w:rsidRPr="007601D4" w:rsidRDefault="00A67819" w:rsidP="0004382C">
      <w:pPr>
        <w:spacing w:line="360" w:lineRule="auto"/>
        <w:rPr>
          <w:rFonts w:cs="Times New Roman"/>
          <w:szCs w:val="24"/>
        </w:rPr>
      </w:pPr>
      <w:r w:rsidRPr="007601D4">
        <w:rPr>
          <w:rFonts w:cs="Times New Roman"/>
          <w:szCs w:val="24"/>
        </w:rPr>
        <w:t xml:space="preserve">Content production continued to adapt to evolving consumption patterns, combining short-form video, visual storytelling, and concise messaging with more in-depth formats such as interviews, articles, and opinion pieces. Communication efforts increasingly balanced accessibility with substance, ensuring that RCC messaging resonates both with the </w:t>
      </w:r>
      <w:proofErr w:type="gramStart"/>
      <w:r w:rsidRPr="007601D4">
        <w:rPr>
          <w:rFonts w:cs="Times New Roman"/>
          <w:szCs w:val="24"/>
        </w:rPr>
        <w:t>general public</w:t>
      </w:r>
      <w:proofErr w:type="gramEnd"/>
      <w:r w:rsidRPr="007601D4">
        <w:rPr>
          <w:rFonts w:cs="Times New Roman"/>
          <w:szCs w:val="24"/>
        </w:rPr>
        <w:t xml:space="preserve"> and with policymakers, partners, and the media.</w:t>
      </w:r>
    </w:p>
    <w:p w14:paraId="5818741E" w14:textId="77777777" w:rsidR="00A67819" w:rsidRPr="007601D4" w:rsidRDefault="00A67819" w:rsidP="0004382C">
      <w:pPr>
        <w:spacing w:line="360" w:lineRule="auto"/>
        <w:rPr>
          <w:rFonts w:cs="Times New Roman"/>
          <w:szCs w:val="24"/>
        </w:rPr>
      </w:pPr>
      <w:r w:rsidRPr="007601D4">
        <w:rPr>
          <w:rFonts w:cs="Times New Roman"/>
          <w:szCs w:val="24"/>
        </w:rPr>
        <w:t>At the same time, RCC communication further strengthened its role in supporting strategic initiatives and partnerships, ensuring visibility of both RCC-led and donor-supported activities. This included consistent promotion of key regional priorities such as CRM implementation, green transition under the Green Agenda, and broader development objectives under SEE2030, while reinforcing the visibility of SEECP as the overarching political framework for regional cooperation.</w:t>
      </w:r>
    </w:p>
    <w:p w14:paraId="33AEBB09" w14:textId="77777777" w:rsidR="00A67819" w:rsidRPr="007601D4" w:rsidRDefault="00A67819" w:rsidP="0004382C">
      <w:pPr>
        <w:spacing w:line="360" w:lineRule="auto"/>
        <w:rPr>
          <w:rFonts w:cs="Times New Roman"/>
          <w:szCs w:val="24"/>
        </w:rPr>
      </w:pPr>
      <w:r w:rsidRPr="007601D4">
        <w:rPr>
          <w:rFonts w:cs="Times New Roman"/>
          <w:szCs w:val="24"/>
        </w:rPr>
        <w:t xml:space="preserve">In this context, RCC communication has demonstrated resilience and adaptability, </w:t>
      </w:r>
      <w:proofErr w:type="gramStart"/>
      <w:r w:rsidRPr="007601D4">
        <w:rPr>
          <w:rFonts w:cs="Times New Roman"/>
          <w:szCs w:val="24"/>
        </w:rPr>
        <w:t>maintaining</w:t>
      </w:r>
      <w:proofErr w:type="gramEnd"/>
      <w:r w:rsidRPr="007601D4">
        <w:rPr>
          <w:rFonts w:cs="Times New Roman"/>
          <w:szCs w:val="24"/>
        </w:rPr>
        <w:t xml:space="preserve"> strong visibility and engagement while further refining its strategic focus. Moving forward, communication will continue to build on these foundations, with an increased emphasis on demonstrating RCC’s convening power, strengthening narrative coherence across regional agendas, and ensuring that the value of regional cooperation is clearly understood, recognised, and supported across </w:t>
      </w:r>
      <w:proofErr w:type="gramStart"/>
      <w:r w:rsidRPr="007601D4">
        <w:rPr>
          <w:rFonts w:cs="Times New Roman"/>
          <w:szCs w:val="24"/>
        </w:rPr>
        <w:t>South East</w:t>
      </w:r>
      <w:proofErr w:type="gramEnd"/>
      <w:r w:rsidRPr="007601D4">
        <w:rPr>
          <w:rFonts w:cs="Times New Roman"/>
          <w:szCs w:val="24"/>
        </w:rPr>
        <w:t xml:space="preserve"> Europe and beyond.</w:t>
      </w:r>
    </w:p>
    <w:p w14:paraId="0609ED9D" w14:textId="77777777" w:rsidR="00880436" w:rsidRPr="007601D4" w:rsidRDefault="43A25FFC" w:rsidP="0004382C">
      <w:pPr>
        <w:pStyle w:val="Heading2"/>
        <w:spacing w:line="360" w:lineRule="auto"/>
      </w:pPr>
      <w:bookmarkStart w:id="50" w:name="_Toc228451797"/>
      <w:r w:rsidRPr="007601D4">
        <w:lastRenderedPageBreak/>
        <w:t xml:space="preserve">C3. </w:t>
      </w:r>
      <w:r w:rsidR="64F61656" w:rsidRPr="007601D4">
        <w:t>Extending partnership</w:t>
      </w:r>
      <w:r w:rsidR="5B5D92E1" w:rsidRPr="007601D4">
        <w:t>s</w:t>
      </w:r>
      <w:bookmarkEnd w:id="50"/>
    </w:p>
    <w:p w14:paraId="6AEB6569" w14:textId="07E5F791" w:rsidR="00900979" w:rsidRPr="007601D4" w:rsidRDefault="00900979" w:rsidP="005D68B9">
      <w:pPr>
        <w:spacing w:line="360" w:lineRule="auto"/>
        <w:rPr>
          <w:rFonts w:eastAsia="Calibri" w:cs="Times New Roman"/>
          <w:szCs w:val="24"/>
        </w:rPr>
      </w:pPr>
      <w:r w:rsidRPr="007601D4">
        <w:rPr>
          <w:rFonts w:eastAsia="Calibri" w:cs="Times New Roman"/>
          <w:szCs w:val="24"/>
        </w:rPr>
        <w:t xml:space="preserve">Further strengthening partnerships, the </w:t>
      </w:r>
      <w:r w:rsidR="00B76881" w:rsidRPr="007601D4">
        <w:rPr>
          <w:rFonts w:eastAsia="Calibri" w:cs="Times New Roman"/>
          <w:szCs w:val="24"/>
        </w:rPr>
        <w:t xml:space="preserve">RCC signed </w:t>
      </w:r>
      <w:r w:rsidR="00B76881" w:rsidRPr="007601D4">
        <w:rPr>
          <w:rFonts w:eastAsia="Calibri" w:cs="Times New Roman"/>
          <w:bCs/>
          <w:szCs w:val="24"/>
        </w:rPr>
        <w:t>a</w:t>
      </w:r>
      <w:r w:rsidR="00B76881" w:rsidRPr="007601D4">
        <w:rPr>
          <w:rFonts w:eastAsia="Calibri" w:cs="Times New Roman"/>
          <w:b/>
          <w:szCs w:val="24"/>
        </w:rPr>
        <w:t xml:space="preserve"> </w:t>
      </w:r>
      <w:hyperlink r:id="rId122" w:history="1">
        <w:r w:rsidR="00B76881" w:rsidRPr="007601D4">
          <w:rPr>
            <w:rStyle w:val="Hyperlink"/>
            <w:rFonts w:eastAsia="Calibri" w:cs="Times New Roman"/>
            <w:b/>
            <w:szCs w:val="24"/>
          </w:rPr>
          <w:t>Letter of Intent with UNDP</w:t>
        </w:r>
      </w:hyperlink>
      <w:r w:rsidRPr="007601D4">
        <w:rPr>
          <w:rFonts w:eastAsia="Calibri" w:cs="Times New Roman"/>
          <w:szCs w:val="24"/>
        </w:rPr>
        <w:t xml:space="preserve"> in New York on 24 September. This document focuses on joint support for reform agendas in </w:t>
      </w:r>
      <w:proofErr w:type="gramStart"/>
      <w:r w:rsidRPr="007601D4">
        <w:rPr>
          <w:rFonts w:eastAsia="Calibri" w:cs="Times New Roman"/>
          <w:szCs w:val="24"/>
        </w:rPr>
        <w:t>South East</w:t>
      </w:r>
      <w:proofErr w:type="gramEnd"/>
      <w:r w:rsidRPr="007601D4">
        <w:rPr>
          <w:rFonts w:eastAsia="Calibri" w:cs="Times New Roman"/>
          <w:szCs w:val="24"/>
        </w:rPr>
        <w:t xml:space="preserve"> Europe, particularly in governance, sustainable development, and resilience, aligned with frameworks like the CRM Action Plan and the Green Agenda. </w:t>
      </w:r>
    </w:p>
    <w:p w14:paraId="639E5E6F" w14:textId="77777777" w:rsidR="00900979" w:rsidRPr="007601D4" w:rsidRDefault="00900979" w:rsidP="005D68B9">
      <w:pPr>
        <w:pStyle w:val="PlainText"/>
        <w:spacing w:before="120" w:after="240" w:line="360" w:lineRule="auto"/>
        <w:jc w:val="both"/>
        <w:rPr>
          <w:rFonts w:ascii="Times New Roman" w:hAnsi="Times New Roman" w:cs="Times New Roman"/>
          <w:sz w:val="24"/>
          <w:szCs w:val="24"/>
          <w:lang w:val="en-GB"/>
        </w:rPr>
      </w:pPr>
      <w:r w:rsidRPr="007601D4">
        <w:rPr>
          <w:rFonts w:ascii="Times New Roman" w:hAnsi="Times New Roman" w:cs="Times New Roman"/>
          <w:sz w:val="24"/>
          <w:szCs w:val="24"/>
          <w:lang w:val="en-GB"/>
        </w:rPr>
        <w:t xml:space="preserve">During the reporting period, the RCC also signed a </w:t>
      </w:r>
      <w:r w:rsidRPr="007601D4">
        <w:rPr>
          <w:rFonts w:ascii="Times New Roman" w:hAnsi="Times New Roman" w:cs="Times New Roman"/>
          <w:b/>
          <w:sz w:val="24"/>
          <w:szCs w:val="24"/>
          <w:lang w:val="en-GB"/>
        </w:rPr>
        <w:t>cooperation contract with</w:t>
      </w:r>
      <w:r w:rsidRPr="007601D4">
        <w:rPr>
          <w:rFonts w:ascii="Times New Roman" w:hAnsi="Times New Roman" w:cs="Times New Roman"/>
          <w:sz w:val="24"/>
          <w:szCs w:val="24"/>
          <w:lang w:val="en-GB"/>
        </w:rPr>
        <w:t xml:space="preserve"> </w:t>
      </w:r>
      <w:r w:rsidRPr="007601D4">
        <w:rPr>
          <w:rFonts w:ascii="Times New Roman" w:hAnsi="Times New Roman" w:cs="Times New Roman"/>
          <w:b/>
          <w:sz w:val="24"/>
          <w:szCs w:val="24"/>
          <w:lang w:val="en-GB"/>
        </w:rPr>
        <w:t>Switzerland</w:t>
      </w:r>
      <w:r w:rsidRPr="007601D4">
        <w:rPr>
          <w:rFonts w:ascii="Times New Roman" w:hAnsi="Times New Roman" w:cs="Times New Roman"/>
          <w:sz w:val="24"/>
          <w:szCs w:val="24"/>
          <w:lang w:val="en-GB"/>
        </w:rPr>
        <w:t xml:space="preserve"> to support the Circular Economy Pillar work in the RCC. This partnership includes a one-year short-term expert support and funding, laying a groundwork for a more structured, long-term cooperation in this priority area.</w:t>
      </w:r>
    </w:p>
    <w:p w14:paraId="62D125B8" w14:textId="5F14E8FF" w:rsidR="0050304D" w:rsidRPr="007601D4" w:rsidRDefault="0050304D" w:rsidP="005D68B9">
      <w:pPr>
        <w:pStyle w:val="PlainText"/>
        <w:spacing w:before="120" w:after="240" w:line="360" w:lineRule="auto"/>
        <w:jc w:val="both"/>
        <w:rPr>
          <w:rFonts w:ascii="Times New Roman" w:hAnsi="Times New Roman" w:cs="Times New Roman"/>
          <w:sz w:val="24"/>
          <w:szCs w:val="24"/>
          <w:lang w:val="en-GB"/>
        </w:rPr>
      </w:pPr>
      <w:r w:rsidRPr="007601D4">
        <w:rPr>
          <w:rFonts w:ascii="Times New Roman" w:hAnsi="Times New Roman" w:cs="Times New Roman"/>
          <w:sz w:val="24"/>
          <w:szCs w:val="24"/>
          <w:lang w:val="en-GB"/>
        </w:rPr>
        <w:t xml:space="preserve">RCC signed </w:t>
      </w:r>
      <w:r w:rsidRPr="007601D4">
        <w:rPr>
          <w:rFonts w:ascii="Times New Roman" w:hAnsi="Times New Roman" w:cs="Times New Roman"/>
          <w:b/>
          <w:bCs/>
          <w:sz w:val="24"/>
          <w:szCs w:val="24"/>
          <w:lang w:val="en-GB"/>
        </w:rPr>
        <w:t>Memoranda of Understanding with both the German Development Cooperation (GIZ) and the European Training Foundation (ETF),</w:t>
      </w:r>
      <w:r w:rsidRPr="007601D4">
        <w:rPr>
          <w:rFonts w:ascii="Times New Roman" w:hAnsi="Times New Roman" w:cs="Times New Roman"/>
          <w:sz w:val="24"/>
          <w:szCs w:val="24"/>
          <w:lang w:val="en-GB"/>
        </w:rPr>
        <w:t xml:space="preserve"> further strengthening its strategic partnerships. The MoU with GIZ updates the 2019 cooperation framework and reinforces collaboration in sustainable economic development, digital transformation, the green transition, and good governance across the Western Balkans. It establishes a platform for regular consultations, knowledge exchange, joint capacity-building, and coordinated regional action, supporting resilience, competitiveness, climate neutrality, and progress toward</w:t>
      </w:r>
      <w:r w:rsidR="00920F70">
        <w:rPr>
          <w:rFonts w:ascii="Times New Roman" w:hAnsi="Times New Roman" w:cs="Times New Roman"/>
          <w:sz w:val="24"/>
          <w:szCs w:val="24"/>
          <w:lang w:val="en-GB"/>
        </w:rPr>
        <w:t>s</w:t>
      </w:r>
      <w:r w:rsidRPr="007601D4">
        <w:rPr>
          <w:rFonts w:ascii="Times New Roman" w:hAnsi="Times New Roman" w:cs="Times New Roman"/>
          <w:sz w:val="24"/>
          <w:szCs w:val="24"/>
          <w:lang w:val="en-GB"/>
        </w:rPr>
        <w:t xml:space="preserve"> EU integration.</w:t>
      </w:r>
    </w:p>
    <w:p w14:paraId="0CA1015A" w14:textId="028A826D" w:rsidR="0050304D" w:rsidRPr="007601D4" w:rsidRDefault="0050304D" w:rsidP="005D68B9">
      <w:pPr>
        <w:pStyle w:val="PlainText"/>
        <w:spacing w:before="120" w:after="240" w:line="360" w:lineRule="auto"/>
        <w:jc w:val="both"/>
        <w:rPr>
          <w:rFonts w:ascii="Times New Roman" w:hAnsi="Times New Roman" w:cs="Times New Roman"/>
          <w:sz w:val="24"/>
          <w:szCs w:val="24"/>
          <w:lang w:val="en-GB"/>
        </w:rPr>
      </w:pPr>
      <w:r w:rsidRPr="007601D4">
        <w:rPr>
          <w:rFonts w:ascii="Times New Roman" w:hAnsi="Times New Roman" w:cs="Times New Roman"/>
          <w:sz w:val="24"/>
          <w:szCs w:val="24"/>
          <w:lang w:val="en-GB"/>
        </w:rPr>
        <w:t>The MoU with ETF update</w:t>
      </w:r>
      <w:r w:rsidR="006E2779" w:rsidRPr="007601D4">
        <w:rPr>
          <w:rFonts w:ascii="Times New Roman" w:hAnsi="Times New Roman" w:cs="Times New Roman"/>
          <w:sz w:val="24"/>
          <w:szCs w:val="24"/>
          <w:lang w:val="en-GB"/>
        </w:rPr>
        <w:t>d</w:t>
      </w:r>
      <w:r w:rsidRPr="007601D4">
        <w:rPr>
          <w:rFonts w:ascii="Times New Roman" w:hAnsi="Times New Roman" w:cs="Times New Roman"/>
          <w:sz w:val="24"/>
          <w:szCs w:val="24"/>
          <w:lang w:val="en-GB"/>
        </w:rPr>
        <w:t xml:space="preserve"> the 2017 cooperation framework and continu</w:t>
      </w:r>
      <w:r w:rsidR="006E2779" w:rsidRPr="007601D4">
        <w:rPr>
          <w:rFonts w:ascii="Times New Roman" w:hAnsi="Times New Roman" w:cs="Times New Roman"/>
          <w:sz w:val="24"/>
          <w:szCs w:val="24"/>
          <w:lang w:val="en-GB"/>
        </w:rPr>
        <w:t>ing</w:t>
      </w:r>
      <w:r w:rsidRPr="007601D4">
        <w:rPr>
          <w:rFonts w:ascii="Times New Roman" w:hAnsi="Times New Roman" w:cs="Times New Roman"/>
          <w:sz w:val="24"/>
          <w:szCs w:val="24"/>
          <w:lang w:val="en-GB"/>
        </w:rPr>
        <w:t xml:space="preserve"> cooperation on human capital and broader economic and social development in </w:t>
      </w:r>
      <w:proofErr w:type="gramStart"/>
      <w:r w:rsidRPr="007601D4">
        <w:rPr>
          <w:rFonts w:ascii="Times New Roman" w:hAnsi="Times New Roman" w:cs="Times New Roman"/>
          <w:sz w:val="24"/>
          <w:szCs w:val="24"/>
          <w:lang w:val="en-GB"/>
        </w:rPr>
        <w:t>South</w:t>
      </w:r>
      <w:r w:rsidR="00822486">
        <w:rPr>
          <w:rFonts w:ascii="Times New Roman" w:hAnsi="Times New Roman" w:cs="Times New Roman"/>
          <w:sz w:val="24"/>
          <w:szCs w:val="24"/>
          <w:lang w:val="en-GB"/>
        </w:rPr>
        <w:t xml:space="preserve"> </w:t>
      </w:r>
      <w:r w:rsidRPr="007601D4">
        <w:rPr>
          <w:rFonts w:ascii="Times New Roman" w:hAnsi="Times New Roman" w:cs="Times New Roman"/>
          <w:sz w:val="24"/>
          <w:szCs w:val="24"/>
          <w:lang w:val="en-GB"/>
        </w:rPr>
        <w:t>East</w:t>
      </w:r>
      <w:proofErr w:type="gramEnd"/>
      <w:r w:rsidRPr="007601D4">
        <w:rPr>
          <w:rFonts w:ascii="Times New Roman" w:hAnsi="Times New Roman" w:cs="Times New Roman"/>
          <w:sz w:val="24"/>
          <w:szCs w:val="24"/>
          <w:lang w:val="en-GB"/>
        </w:rPr>
        <w:t xml:space="preserve"> Europe. It further strengthens collaboration in skills development, labour market readiness, and regional competitiveness.</w:t>
      </w:r>
    </w:p>
    <w:p w14:paraId="2F5599A3" w14:textId="16BA3331" w:rsidR="00915B3B" w:rsidRPr="007601D4" w:rsidRDefault="00915B3B" w:rsidP="005D68B9">
      <w:pPr>
        <w:spacing w:line="360" w:lineRule="auto"/>
      </w:pPr>
      <w:r w:rsidRPr="007601D4">
        <w:t xml:space="preserve">During the reporting period, the RCC Brussels Liaison Office (LO) advanced regional cooperation and the EU enlargement agenda while strengthening RCC’s visibility and engagement within the EU’s political, diplomatic, and analytical landscape. Through sustained cooperation with EU institutions, diplomatic missions, international organisations, NGOs, and leading think tanks, the LO continued to act as a bridge between </w:t>
      </w:r>
      <w:proofErr w:type="gramStart"/>
      <w:r w:rsidRPr="007601D4">
        <w:t>South East</w:t>
      </w:r>
      <w:proofErr w:type="gramEnd"/>
      <w:r w:rsidRPr="007601D4">
        <w:t xml:space="preserve"> Europe and Brussels-based stakeholders.</w:t>
      </w:r>
    </w:p>
    <w:p w14:paraId="43BCEDFA" w14:textId="4975A3F9" w:rsidR="006D6AFA" w:rsidRPr="007601D4" w:rsidRDefault="006D6AFA" w:rsidP="005D68B9">
      <w:pPr>
        <w:spacing w:line="360" w:lineRule="auto"/>
      </w:pPr>
      <w:r w:rsidRPr="007601D4">
        <w:lastRenderedPageBreak/>
        <w:t xml:space="preserve">As of June 2025, Mr. Igor </w:t>
      </w:r>
      <w:proofErr w:type="spellStart"/>
      <w:r w:rsidRPr="007601D4">
        <w:t>Šoltes</w:t>
      </w:r>
      <w:proofErr w:type="spellEnd"/>
      <w:r w:rsidRPr="007601D4">
        <w:t xml:space="preserve"> assumed the position of Head of Office (HO), contributing to the continued guidance and strategic direction of </w:t>
      </w:r>
      <w:r w:rsidR="00EA31E7">
        <w:t>LO</w:t>
      </w:r>
      <w:r w:rsidRPr="007601D4">
        <w:t xml:space="preserve">. The current composition of the LO’s staff is Head of </w:t>
      </w:r>
      <w:r w:rsidR="005628F6">
        <w:t>O</w:t>
      </w:r>
      <w:r w:rsidRPr="007601D4">
        <w:t xml:space="preserve">ffice, Senior Advisor and one intern. </w:t>
      </w:r>
    </w:p>
    <w:p w14:paraId="5C67F8A2" w14:textId="6E16C6BE" w:rsidR="00651C7E" w:rsidRPr="007601D4" w:rsidRDefault="00651C7E" w:rsidP="005D68B9">
      <w:pPr>
        <w:spacing w:line="360" w:lineRule="auto"/>
      </w:pPr>
      <w:r w:rsidRPr="007601D4">
        <w:t xml:space="preserve">The Office intensified outreach through introductory meetings with DG ENEST and EU Member State ambassadors, as well as regular engagement with the Cabinet of the </w:t>
      </w:r>
      <w:r w:rsidR="00456672" w:rsidRPr="007601D4">
        <w:t xml:space="preserve">Enlargement </w:t>
      </w:r>
      <w:r w:rsidRPr="007601D4">
        <w:t>Commissioner and the</w:t>
      </w:r>
      <w:r w:rsidR="00F71BDC" w:rsidRPr="007601D4">
        <w:t xml:space="preserve"> </w:t>
      </w:r>
      <w:r w:rsidRPr="007601D4">
        <w:t>Council</w:t>
      </w:r>
      <w:r w:rsidR="00F71BDC" w:rsidRPr="007601D4">
        <w:t xml:space="preserve"> of the EU</w:t>
      </w:r>
      <w:r w:rsidRPr="007601D4">
        <w:t xml:space="preserve">. It also hosted a delegation of young diplomats from the </w:t>
      </w:r>
      <w:proofErr w:type="spellStart"/>
      <w:r w:rsidRPr="007601D4">
        <w:t>Clingendael</w:t>
      </w:r>
      <w:proofErr w:type="spellEnd"/>
      <w:r w:rsidRPr="007601D4">
        <w:t xml:space="preserve"> Academy, presenting the RCC’s role in supporting regional cooperation and EU integration of the Western Balkans</w:t>
      </w:r>
      <w:r w:rsidR="005F1F7F" w:rsidRPr="007601D4">
        <w:t xml:space="preserve"> and supporting the Berlin Process commitments.</w:t>
      </w:r>
    </w:p>
    <w:p w14:paraId="394FE548" w14:textId="694DBA79" w:rsidR="00763A14" w:rsidRPr="007601D4" w:rsidRDefault="00763A14" w:rsidP="005D68B9">
      <w:pPr>
        <w:spacing w:line="360" w:lineRule="auto"/>
      </w:pPr>
      <w:r w:rsidRPr="007601D4">
        <w:t xml:space="preserve">In partnership with the European Economic and Social Committee (EESC), the LO co-organised the annual conference </w:t>
      </w:r>
      <w:r w:rsidRPr="007601D4">
        <w:rPr>
          <w:i/>
          <w:iCs/>
        </w:rPr>
        <w:t>No Future Without Us – Youth Shaping EU Enlargement</w:t>
      </w:r>
      <w:r w:rsidRPr="007601D4">
        <w:t xml:space="preserve"> on 12 December 2025 in Brussels, opening avenues for continued joint engagement on youth and enlargement. The Office further contributed to regional dialogue by participating in the International Youth Conference 2025</w:t>
      </w:r>
      <w:r w:rsidR="00D36213">
        <w:t xml:space="preserve"> </w:t>
      </w:r>
      <w:r w:rsidR="00B74EFB" w:rsidRPr="007601D4">
        <w:t xml:space="preserve">- </w:t>
      </w:r>
      <w:r w:rsidR="00B74EFB" w:rsidRPr="007601D4">
        <w:rPr>
          <w:i/>
          <w:iCs/>
        </w:rPr>
        <w:t>European Values for the Future of SEE Countries</w:t>
      </w:r>
      <w:r w:rsidR="00B74EFB" w:rsidRPr="007601D4">
        <w:t>, held on 25 September in</w:t>
      </w:r>
      <w:r w:rsidRPr="007601D4">
        <w:t xml:space="preserve"> </w:t>
      </w:r>
      <w:proofErr w:type="spellStart"/>
      <w:r w:rsidRPr="007601D4">
        <w:t>Kruševo</w:t>
      </w:r>
      <w:proofErr w:type="spellEnd"/>
      <w:r w:rsidRPr="007601D4">
        <w:t xml:space="preserve"> and by establishing regular exchanges with the Council Working Party on the Western Balkans (COWEB), including a dedicated session on </w:t>
      </w:r>
      <w:proofErr w:type="spellStart"/>
      <w:r w:rsidRPr="007601D4">
        <w:t>SecuriMeter</w:t>
      </w:r>
      <w:proofErr w:type="spellEnd"/>
      <w:r w:rsidRPr="007601D4">
        <w:t xml:space="preserve"> findings and human capital development</w:t>
      </w:r>
      <w:r w:rsidR="00E42907" w:rsidRPr="007601D4">
        <w:t xml:space="preserve"> on 23 March</w:t>
      </w:r>
      <w:r w:rsidR="00E568C4" w:rsidRPr="007601D4">
        <w:t>.</w:t>
      </w:r>
    </w:p>
    <w:p w14:paraId="515B8DDE" w14:textId="65F7A492" w:rsidR="000E1CE8" w:rsidRPr="007601D4" w:rsidRDefault="000E1CE8" w:rsidP="005D68B9">
      <w:pPr>
        <w:spacing w:line="360" w:lineRule="auto"/>
      </w:pPr>
      <w:r w:rsidRPr="007601D4">
        <w:t xml:space="preserve">The Brussels Liaison Office provided substantive organisational and content support to a range of high-level RCC engagements in Brussels, ensuring effective coordination, visibility, and policy alignment with EU institutions. This included facilitating visits of the RCC Secretary General and Deputy Secretary General, supporting meetings with key counterparts in the </w:t>
      </w:r>
      <w:r w:rsidR="005F1841" w:rsidRPr="007601D4">
        <w:t>EC</w:t>
      </w:r>
      <w:r w:rsidRPr="007601D4">
        <w:t>, EEAS, and European Parliament, and contributing to major events such as the presentation of the Balkan Barometer. Through these efforts, the LO played a key role in advancing RCC priorities, strengthening stakeholder engagement, and ensuring coherent regional input into EU-level discussions, including preparations for the Berlin Process.</w:t>
      </w:r>
    </w:p>
    <w:p w14:paraId="4CCB0E0F" w14:textId="68717577" w:rsidR="00C206B1" w:rsidRPr="007601D4" w:rsidRDefault="00C206B1" w:rsidP="005D68B9">
      <w:pPr>
        <w:spacing w:line="360" w:lineRule="auto"/>
      </w:pPr>
      <w:r w:rsidRPr="007601D4">
        <w:t xml:space="preserve">The Liaison Office </w:t>
      </w:r>
      <w:r w:rsidR="00C739EC" w:rsidRPr="007601D4">
        <w:t>continuously</w:t>
      </w:r>
      <w:r w:rsidRPr="007601D4">
        <w:t xml:space="preserve"> collect</w:t>
      </w:r>
      <w:r w:rsidR="003A4690" w:rsidRPr="007601D4">
        <w:t>ed</w:t>
      </w:r>
      <w:r w:rsidRPr="007601D4">
        <w:t>, analys</w:t>
      </w:r>
      <w:r w:rsidR="003A4690" w:rsidRPr="007601D4">
        <w:t>ed</w:t>
      </w:r>
      <w:r w:rsidRPr="007601D4">
        <w:t>, and disseminat</w:t>
      </w:r>
      <w:r w:rsidR="003A4690" w:rsidRPr="007601D4">
        <w:t>ed</w:t>
      </w:r>
      <w:r w:rsidRPr="007601D4">
        <w:t xml:space="preserve"> key information</w:t>
      </w:r>
      <w:r w:rsidR="003A4690" w:rsidRPr="007601D4">
        <w:t xml:space="preserve"> on EU enlargement process</w:t>
      </w:r>
      <w:r w:rsidRPr="007601D4">
        <w:t xml:space="preserve">, including analytical briefs on </w:t>
      </w:r>
      <w:r w:rsidR="005F1841" w:rsidRPr="007601D4">
        <w:t>EC</w:t>
      </w:r>
      <w:r w:rsidRPr="007601D4">
        <w:t xml:space="preserve"> reports and daily bulletins on EU activities. It also reinforced the RCC’s policy footprint by contributing to discussions, panel debates, and roundtables with leading Brussels-based think tanks and platforms, such as the Centre for European Policy Studies, Bruegel, Carnegie Europe, the European Policy Centre, Friends of Europe, the New Economy Forum, and the Wilfried Martens Centre for European </w:t>
      </w:r>
      <w:r w:rsidRPr="007601D4">
        <w:lastRenderedPageBreak/>
        <w:t xml:space="preserve">Studies. These engagements addressed a wide range of topics, including EU enlargement, political developments in individual </w:t>
      </w:r>
      <w:r w:rsidR="00431D19">
        <w:t>economies</w:t>
      </w:r>
      <w:r w:rsidRPr="007601D4">
        <w:t>, the EU Single Market, critical raw materials, innovation and startups, and broader economic, security, and environmental issues such as circular economy, gradual integration, and democratic processes in the region.</w:t>
      </w:r>
    </w:p>
    <w:p w14:paraId="3B819754" w14:textId="764DA68E" w:rsidR="001C0C98" w:rsidRPr="007601D4" w:rsidRDefault="001C0C98" w:rsidP="0004382C">
      <w:pPr>
        <w:spacing w:line="360" w:lineRule="auto"/>
        <w:jc w:val="left"/>
        <w:rPr>
          <w:rFonts w:eastAsia="Times New Roman" w:cs="Times New Roman"/>
          <w:color w:val="000000"/>
          <w:szCs w:val="24"/>
        </w:rPr>
      </w:pPr>
      <w:r w:rsidRPr="007601D4">
        <w:rPr>
          <w:rFonts w:eastAsia="Times New Roman" w:cs="Times New Roman"/>
          <w:color w:val="000000"/>
          <w:szCs w:val="24"/>
        </w:rPr>
        <w:br w:type="page"/>
      </w:r>
    </w:p>
    <w:p w14:paraId="75974176" w14:textId="77777777" w:rsidR="00C72ECE" w:rsidRPr="007601D4" w:rsidRDefault="00C72ECE" w:rsidP="0004382C">
      <w:pPr>
        <w:pStyle w:val="Heading1"/>
        <w:numPr>
          <w:ilvl w:val="0"/>
          <w:numId w:val="0"/>
        </w:numPr>
        <w:spacing w:line="360" w:lineRule="auto"/>
        <w:rPr>
          <w:rFonts w:eastAsia="Times New Roman"/>
        </w:rPr>
      </w:pPr>
      <w:bookmarkStart w:id="51" w:name="_Toc105667687"/>
      <w:bookmarkStart w:id="52" w:name="_Toc228451798"/>
      <w:r w:rsidRPr="007601D4">
        <w:rPr>
          <w:rFonts w:eastAsia="Times New Roman"/>
        </w:rPr>
        <w:lastRenderedPageBreak/>
        <w:t>Abbreviations</w:t>
      </w:r>
      <w:bookmarkEnd w:id="51"/>
      <w:bookmarkEnd w:id="52"/>
    </w:p>
    <w:p w14:paraId="46B744CD" w14:textId="77777777" w:rsidR="008F4868" w:rsidRPr="007601D4" w:rsidRDefault="008F4868" w:rsidP="0004382C">
      <w:pPr>
        <w:spacing w:line="360" w:lineRule="auto"/>
        <w:contextualSpacing/>
        <w:jc w:val="left"/>
        <w:rPr>
          <w:rFonts w:eastAsia="Calibri" w:cs="Times New Roman"/>
          <w:sz w:val="22"/>
        </w:rPr>
      </w:pPr>
    </w:p>
    <w:p w14:paraId="7FD74CE7"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ACG           </w:t>
      </w:r>
      <w:r w:rsidRPr="007601D4">
        <w:rPr>
          <w:rFonts w:eastAsia="Calibri" w:cs="Times New Roman"/>
          <w:sz w:val="22"/>
        </w:rPr>
        <w:tab/>
      </w:r>
      <w:r w:rsidRPr="007601D4">
        <w:rPr>
          <w:rFonts w:eastAsia="Calibri" w:cs="Times New Roman"/>
          <w:sz w:val="22"/>
        </w:rPr>
        <w:tab/>
        <w:t xml:space="preserve">Advisory and Coordination Group  </w:t>
      </w:r>
    </w:p>
    <w:p w14:paraId="74F273E5" w14:textId="183BD352" w:rsidR="008B131A" w:rsidRPr="007601D4" w:rsidRDefault="008B131A" w:rsidP="0004382C">
      <w:pPr>
        <w:spacing w:line="360" w:lineRule="auto"/>
        <w:contextualSpacing/>
        <w:jc w:val="left"/>
        <w:rPr>
          <w:rFonts w:eastAsia="Calibri" w:cs="Times New Roman"/>
          <w:sz w:val="22"/>
        </w:rPr>
      </w:pPr>
      <w:r w:rsidRPr="007601D4">
        <w:rPr>
          <w:rFonts w:eastAsia="Calibri" w:cs="Times New Roman"/>
          <w:sz w:val="22"/>
        </w:rPr>
        <w:t>AI</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Artificial Intelligence</w:t>
      </w:r>
    </w:p>
    <w:p w14:paraId="73EE53ED" w14:textId="5FFEC4A2" w:rsidR="00001FDF" w:rsidRPr="007601D4" w:rsidRDefault="00001FDF" w:rsidP="0004382C">
      <w:pPr>
        <w:spacing w:line="360" w:lineRule="auto"/>
        <w:contextualSpacing/>
        <w:jc w:val="left"/>
        <w:rPr>
          <w:rFonts w:eastAsia="Calibri" w:cs="Times New Roman"/>
          <w:sz w:val="22"/>
        </w:rPr>
      </w:pPr>
      <w:r w:rsidRPr="007601D4">
        <w:rPr>
          <w:rFonts w:eastAsia="Calibri" w:cs="Times New Roman"/>
          <w:sz w:val="22"/>
        </w:rPr>
        <w:t>ALMM</w:t>
      </w:r>
      <w:r w:rsidRPr="007601D4">
        <w:rPr>
          <w:rFonts w:eastAsia="Calibri" w:cs="Times New Roman"/>
          <w:sz w:val="22"/>
        </w:rPr>
        <w:tab/>
      </w:r>
      <w:r w:rsidRPr="007601D4">
        <w:rPr>
          <w:rFonts w:eastAsia="Calibri" w:cs="Times New Roman"/>
          <w:sz w:val="22"/>
        </w:rPr>
        <w:tab/>
      </w:r>
      <w:r w:rsidR="00B428BD" w:rsidRPr="007601D4">
        <w:rPr>
          <w:rFonts w:eastAsia="Calibri" w:cs="Times New Roman"/>
          <w:sz w:val="22"/>
        </w:rPr>
        <w:tab/>
      </w:r>
      <w:r w:rsidRPr="007601D4">
        <w:rPr>
          <w:rFonts w:eastAsia="Calibri" w:cs="Times New Roman"/>
          <w:sz w:val="22"/>
        </w:rPr>
        <w:t xml:space="preserve">Active </w:t>
      </w:r>
      <w:r w:rsidR="00B428BD" w:rsidRPr="007601D4">
        <w:rPr>
          <w:rFonts w:eastAsia="Calibri" w:cs="Times New Roman"/>
          <w:sz w:val="22"/>
        </w:rPr>
        <w:t>Labour Market Measures</w:t>
      </w:r>
    </w:p>
    <w:p w14:paraId="61AD6BFB" w14:textId="77777777" w:rsidR="005254BF"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BIA </w:t>
      </w:r>
      <w:r w:rsidR="008F4868" w:rsidRPr="007601D4">
        <w:tab/>
      </w:r>
      <w:r w:rsidR="008F4868" w:rsidRPr="007601D4">
        <w:tab/>
      </w:r>
      <w:r w:rsidR="008F4868" w:rsidRPr="007601D4">
        <w:tab/>
      </w:r>
      <w:r w:rsidRPr="007601D4">
        <w:rPr>
          <w:rFonts w:eastAsia="Calibri" w:cs="Times New Roman"/>
          <w:sz w:val="22"/>
        </w:rPr>
        <w:t xml:space="preserve">Butterfly Innovation Award </w:t>
      </w:r>
    </w:p>
    <w:p w14:paraId="12A83838" w14:textId="76E1C87B" w:rsidR="00D73523" w:rsidRPr="007601D4" w:rsidRDefault="005254BF" w:rsidP="03D6C3D3">
      <w:pPr>
        <w:spacing w:line="360" w:lineRule="auto"/>
        <w:contextualSpacing/>
        <w:jc w:val="left"/>
        <w:rPr>
          <w:rFonts w:eastAsia="Calibri" w:cs="Times New Roman"/>
          <w:sz w:val="22"/>
        </w:rPr>
      </w:pPr>
      <w:r w:rsidRPr="007601D4">
        <w:rPr>
          <w:rFonts w:eastAsia="Calibri" w:cs="Times New Roman"/>
          <w:sz w:val="22"/>
        </w:rPr>
        <w:t>BSP</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Biodiversity Strategic Plan</w:t>
      </w:r>
      <w:r w:rsidR="03D6C3D3" w:rsidRPr="007601D4">
        <w:rPr>
          <w:rFonts w:eastAsia="Calibri" w:cs="Times New Roman"/>
          <w:sz w:val="22"/>
        </w:rPr>
        <w:t xml:space="preserve"> </w:t>
      </w:r>
    </w:p>
    <w:p w14:paraId="3235D944" w14:textId="22A72057"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CEFTA         </w:t>
      </w:r>
      <w:r w:rsidR="008F4868" w:rsidRPr="007601D4">
        <w:tab/>
      </w:r>
      <w:r w:rsidR="008F4868" w:rsidRPr="007601D4">
        <w:tab/>
      </w:r>
      <w:r w:rsidRPr="007601D4">
        <w:rPr>
          <w:rFonts w:eastAsia="Calibri" w:cs="Times New Roman"/>
          <w:sz w:val="22"/>
        </w:rPr>
        <w:t>Central European Free Trade Agreement</w:t>
      </w:r>
    </w:p>
    <w:p w14:paraId="735E9ED2" w14:textId="0410A436" w:rsidR="001F24C9"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CI   </w:t>
      </w:r>
      <w:r w:rsidR="008F4868" w:rsidRPr="007601D4">
        <w:tab/>
      </w:r>
      <w:r w:rsidR="008F4868" w:rsidRPr="007601D4">
        <w:tab/>
      </w:r>
      <w:r w:rsidR="008F4868" w:rsidRPr="007601D4">
        <w:tab/>
      </w:r>
      <w:r w:rsidRPr="007601D4">
        <w:rPr>
          <w:rFonts w:eastAsia="Calibri" w:cs="Times New Roman"/>
          <w:sz w:val="22"/>
        </w:rPr>
        <w:t xml:space="preserve">Creative Industries  </w:t>
      </w:r>
    </w:p>
    <w:p w14:paraId="0FFFC744" w14:textId="77777777" w:rsidR="00E57267"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CE </w:t>
      </w:r>
      <w:r w:rsidR="001F24C9" w:rsidRPr="007601D4">
        <w:tab/>
      </w:r>
      <w:r w:rsidR="001F24C9" w:rsidRPr="007601D4">
        <w:tab/>
      </w:r>
      <w:r w:rsidR="001F24C9" w:rsidRPr="007601D4">
        <w:tab/>
      </w:r>
      <w:r w:rsidRPr="007601D4">
        <w:rPr>
          <w:rFonts w:eastAsia="Calibri" w:cs="Times New Roman"/>
          <w:sz w:val="22"/>
        </w:rPr>
        <w:t>Circular Economy</w:t>
      </w:r>
    </w:p>
    <w:p w14:paraId="299BFB7E" w14:textId="20377265" w:rsidR="002C2D9D" w:rsidRPr="007601D4" w:rsidRDefault="002C2D9D" w:rsidP="03D6C3D3">
      <w:pPr>
        <w:spacing w:line="360" w:lineRule="auto"/>
        <w:contextualSpacing/>
        <w:jc w:val="left"/>
        <w:rPr>
          <w:rFonts w:eastAsia="Calibri" w:cs="Times New Roman"/>
          <w:sz w:val="22"/>
        </w:rPr>
      </w:pPr>
      <w:r w:rsidRPr="007601D4">
        <w:rPr>
          <w:rFonts w:eastAsia="Calibri" w:cs="Times New Roman"/>
          <w:sz w:val="22"/>
        </w:rPr>
        <w:t>CEPOL</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r>
      <w:r w:rsidR="004A718E" w:rsidRPr="007601D4">
        <w:rPr>
          <w:rFonts w:eastAsia="Calibri" w:cs="Times New Roman"/>
          <w:sz w:val="22"/>
        </w:rPr>
        <w:t>European Agency for Law Enforcement Training</w:t>
      </w:r>
    </w:p>
    <w:p w14:paraId="39BDE992" w14:textId="2F4EA0A1"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C-</w:t>
      </w:r>
      <w:proofErr w:type="spellStart"/>
      <w:r w:rsidRPr="007601D4">
        <w:rPr>
          <w:rFonts w:eastAsia="Calibri" w:cs="Times New Roman"/>
          <w:sz w:val="22"/>
        </w:rPr>
        <w:t>i</w:t>
      </w:r>
      <w:proofErr w:type="spellEnd"/>
      <w:r w:rsidRPr="007601D4">
        <w:rPr>
          <w:rFonts w:eastAsia="Calibri" w:cs="Times New Roman"/>
          <w:sz w:val="22"/>
        </w:rPr>
        <w:t xml:space="preserve">-O           </w:t>
      </w:r>
      <w:r w:rsidR="000B14C2" w:rsidRPr="007601D4">
        <w:tab/>
      </w:r>
      <w:r w:rsidR="000B14C2" w:rsidRPr="007601D4">
        <w:tab/>
      </w:r>
      <w:r w:rsidRPr="007601D4">
        <w:rPr>
          <w:rFonts w:eastAsia="Calibri" w:cs="Times New Roman"/>
          <w:sz w:val="22"/>
        </w:rPr>
        <w:t xml:space="preserve">Chairpersonship-in-Office  </w:t>
      </w:r>
    </w:p>
    <w:p w14:paraId="7A09C0AC" w14:textId="77777777" w:rsidR="00651CE3" w:rsidRPr="007601D4" w:rsidRDefault="007D7FA7" w:rsidP="03D6C3D3">
      <w:pPr>
        <w:spacing w:line="360" w:lineRule="auto"/>
        <w:contextualSpacing/>
        <w:jc w:val="left"/>
        <w:rPr>
          <w:rFonts w:eastAsia="Calibri" w:cs="Times New Roman"/>
          <w:sz w:val="22"/>
        </w:rPr>
      </w:pPr>
      <w:r w:rsidRPr="007601D4">
        <w:rPr>
          <w:rFonts w:eastAsia="Calibri" w:cs="Times New Roman"/>
          <w:sz w:val="22"/>
        </w:rPr>
        <w:t>COSAP</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r>
      <w:r w:rsidR="00A356D0" w:rsidRPr="007601D4">
        <w:rPr>
          <w:rFonts w:eastAsia="Calibri" w:cs="Times New Roman"/>
          <w:sz w:val="22"/>
        </w:rPr>
        <w:t>Conference of Parliamentary Committees on European Integration/Affairs</w:t>
      </w:r>
      <w:r w:rsidR="00651CE3" w:rsidRPr="007601D4">
        <w:rPr>
          <w:rFonts w:eastAsia="Calibri" w:cs="Times New Roman"/>
          <w:sz w:val="22"/>
        </w:rPr>
        <w:t xml:space="preserve"> of </w:t>
      </w:r>
    </w:p>
    <w:p w14:paraId="4FD26F25" w14:textId="717A4082" w:rsidR="007D7FA7" w:rsidRPr="007601D4" w:rsidRDefault="00651CE3" w:rsidP="0034217C">
      <w:pPr>
        <w:spacing w:line="360" w:lineRule="auto"/>
        <w:ind w:left="1440" w:firstLine="720"/>
        <w:contextualSpacing/>
        <w:jc w:val="left"/>
        <w:rPr>
          <w:rFonts w:eastAsia="Calibri" w:cs="Times New Roman"/>
          <w:sz w:val="22"/>
        </w:rPr>
      </w:pPr>
      <w:r w:rsidRPr="007601D4">
        <w:rPr>
          <w:rFonts w:eastAsia="Calibri" w:cs="Times New Roman"/>
          <w:sz w:val="22"/>
        </w:rPr>
        <w:t>the Stabilisation and Association Participants</w:t>
      </w:r>
    </w:p>
    <w:p w14:paraId="45B64F18" w14:textId="77777777" w:rsidR="006F4547"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CRM     </w:t>
      </w:r>
      <w:r w:rsidR="006F4547" w:rsidRPr="007601D4">
        <w:rPr>
          <w:rFonts w:eastAsia="Calibri" w:cs="Times New Roman"/>
          <w:sz w:val="22"/>
        </w:rPr>
        <w:tab/>
      </w:r>
      <w:r w:rsidR="006F4547" w:rsidRPr="007601D4">
        <w:rPr>
          <w:rFonts w:eastAsia="Calibri" w:cs="Times New Roman"/>
          <w:sz w:val="22"/>
        </w:rPr>
        <w:tab/>
        <w:t xml:space="preserve">Common Regional Market  </w:t>
      </w:r>
    </w:p>
    <w:p w14:paraId="7E052960" w14:textId="77777777"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CRM2      </w:t>
      </w:r>
      <w:r w:rsidR="006F4547" w:rsidRPr="007601D4">
        <w:tab/>
      </w:r>
      <w:r w:rsidR="006F4547" w:rsidRPr="007601D4">
        <w:tab/>
      </w:r>
      <w:r w:rsidRPr="007601D4">
        <w:rPr>
          <w:rFonts w:eastAsia="Calibri" w:cs="Times New Roman"/>
          <w:sz w:val="22"/>
        </w:rPr>
        <w:t xml:space="preserve">Second iteration of the CRM Action Plan </w:t>
      </w:r>
    </w:p>
    <w:p w14:paraId="27114A07"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CSOs          </w:t>
      </w:r>
      <w:r w:rsidRPr="007601D4">
        <w:rPr>
          <w:rFonts w:eastAsia="Calibri" w:cs="Times New Roman"/>
          <w:sz w:val="22"/>
        </w:rPr>
        <w:tab/>
      </w:r>
      <w:r w:rsidRPr="007601D4">
        <w:rPr>
          <w:rFonts w:eastAsia="Calibri" w:cs="Times New Roman"/>
          <w:sz w:val="22"/>
        </w:rPr>
        <w:tab/>
        <w:t xml:space="preserve">Civil society organisations  </w:t>
      </w:r>
    </w:p>
    <w:p w14:paraId="764CA1AE" w14:textId="0736FC52" w:rsidR="00E10230" w:rsidRPr="007601D4" w:rsidRDefault="00E10230" w:rsidP="0004382C">
      <w:pPr>
        <w:spacing w:line="360" w:lineRule="auto"/>
        <w:contextualSpacing/>
        <w:jc w:val="left"/>
        <w:rPr>
          <w:rFonts w:eastAsia="Calibri" w:cs="Times New Roman"/>
          <w:sz w:val="22"/>
        </w:rPr>
      </w:pPr>
      <w:r w:rsidRPr="007601D4">
        <w:rPr>
          <w:rFonts w:eastAsia="Calibri" w:cs="Times New Roman"/>
          <w:sz w:val="22"/>
        </w:rPr>
        <w:t>DEP</w:t>
      </w:r>
      <w:r w:rsidR="00206F47" w:rsidRPr="007601D4">
        <w:rPr>
          <w:rFonts w:eastAsia="Calibri" w:cs="Times New Roman"/>
          <w:sz w:val="22"/>
        </w:rPr>
        <w:tab/>
      </w:r>
      <w:r w:rsidR="00206F47" w:rsidRPr="007601D4">
        <w:rPr>
          <w:rFonts w:eastAsia="Calibri" w:cs="Times New Roman"/>
          <w:sz w:val="22"/>
        </w:rPr>
        <w:tab/>
      </w:r>
      <w:r w:rsidR="00206F47" w:rsidRPr="007601D4">
        <w:rPr>
          <w:rFonts w:eastAsia="Calibri" w:cs="Times New Roman"/>
          <w:sz w:val="22"/>
        </w:rPr>
        <w:tab/>
        <w:t>Digital Europe Programmes</w:t>
      </w:r>
    </w:p>
    <w:p w14:paraId="5D51B5A6" w14:textId="77777777" w:rsidR="003D5B1D" w:rsidRPr="007601D4" w:rsidRDefault="003D5B1D" w:rsidP="0004382C">
      <w:pPr>
        <w:spacing w:line="360" w:lineRule="auto"/>
        <w:contextualSpacing/>
        <w:jc w:val="left"/>
        <w:rPr>
          <w:rFonts w:eastAsia="Calibri" w:cs="Times New Roman"/>
          <w:sz w:val="22"/>
        </w:rPr>
      </w:pPr>
      <w:r w:rsidRPr="007601D4">
        <w:rPr>
          <w:rFonts w:eastAsia="Calibri" w:cs="Times New Roman"/>
          <w:sz w:val="22"/>
        </w:rPr>
        <w:t>DIHs</w:t>
      </w:r>
      <w:r w:rsidRPr="007601D4">
        <w:t xml:space="preserve"> </w:t>
      </w:r>
      <w:r w:rsidRPr="007601D4">
        <w:tab/>
      </w:r>
      <w:r w:rsidRPr="007601D4">
        <w:tab/>
      </w:r>
      <w:r w:rsidRPr="007601D4">
        <w:tab/>
      </w:r>
      <w:r w:rsidRPr="007601D4">
        <w:rPr>
          <w:rFonts w:eastAsia="Calibri" w:cs="Times New Roman"/>
          <w:sz w:val="22"/>
        </w:rPr>
        <w:t xml:space="preserve">Digital Innovation Hubs </w:t>
      </w:r>
    </w:p>
    <w:p w14:paraId="22B2899B" w14:textId="77777777" w:rsidR="00926068" w:rsidRDefault="00926068" w:rsidP="0004382C">
      <w:pPr>
        <w:spacing w:line="360" w:lineRule="auto"/>
        <w:contextualSpacing/>
        <w:jc w:val="left"/>
        <w:rPr>
          <w:rFonts w:eastAsia="Calibri" w:cs="Times New Roman"/>
          <w:sz w:val="22"/>
        </w:rPr>
      </w:pPr>
      <w:r w:rsidRPr="007601D4">
        <w:rPr>
          <w:rFonts w:eastAsia="Calibri" w:cs="Times New Roman"/>
          <w:sz w:val="22"/>
        </w:rPr>
        <w:t>DG</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Directorate General</w:t>
      </w:r>
    </w:p>
    <w:p w14:paraId="790E05BD" w14:textId="1EB0ADF3" w:rsidR="002B0AF0" w:rsidRPr="00615EEC" w:rsidRDefault="002B0AF0" w:rsidP="0004382C">
      <w:pPr>
        <w:spacing w:line="360" w:lineRule="auto"/>
        <w:contextualSpacing/>
        <w:jc w:val="left"/>
        <w:rPr>
          <w:sz w:val="22"/>
        </w:rPr>
      </w:pPr>
      <w:r w:rsidRPr="00615EEC">
        <w:rPr>
          <w:sz w:val="22"/>
        </w:rPr>
        <w:t>DG EMPL</w:t>
      </w:r>
      <w:r w:rsidRPr="00615EEC">
        <w:rPr>
          <w:sz w:val="22"/>
        </w:rPr>
        <w:tab/>
      </w:r>
      <w:r w:rsidRPr="00615EEC">
        <w:rPr>
          <w:sz w:val="22"/>
        </w:rPr>
        <w:tab/>
        <w:t>Directorate General for Employment, Social Affairs and Inclusion</w:t>
      </w:r>
    </w:p>
    <w:p w14:paraId="355E70A8" w14:textId="34A9C6D3" w:rsidR="00C335BF" w:rsidRPr="00615EEC" w:rsidRDefault="00C335BF" w:rsidP="00615EEC">
      <w:pPr>
        <w:spacing w:line="360" w:lineRule="auto"/>
        <w:ind w:left="2160" w:hanging="2160"/>
        <w:contextualSpacing/>
        <w:jc w:val="left"/>
        <w:rPr>
          <w:rFonts w:eastAsia="Calibri" w:cs="Times New Roman"/>
          <w:sz w:val="22"/>
        </w:rPr>
      </w:pPr>
      <w:r w:rsidRPr="00615EEC">
        <w:rPr>
          <w:sz w:val="22"/>
        </w:rPr>
        <w:t>DG CONNECT</w:t>
      </w:r>
      <w:r w:rsidRPr="00615EEC">
        <w:rPr>
          <w:sz w:val="22"/>
        </w:rPr>
        <w:tab/>
      </w:r>
      <w:r w:rsidR="00615EEC" w:rsidRPr="00615EEC">
        <w:rPr>
          <w:sz w:val="22"/>
        </w:rPr>
        <w:t>Directorate General for Communications Networks, Content and Technology</w:t>
      </w:r>
    </w:p>
    <w:p w14:paraId="3655D327" w14:textId="04DC9F40" w:rsidR="008F4868" w:rsidRPr="007601D4" w:rsidRDefault="00345EE6" w:rsidP="0004382C">
      <w:pPr>
        <w:spacing w:line="360" w:lineRule="auto"/>
        <w:contextualSpacing/>
        <w:jc w:val="left"/>
        <w:rPr>
          <w:rFonts w:eastAsia="Calibri" w:cs="Times New Roman"/>
          <w:sz w:val="22"/>
        </w:rPr>
      </w:pPr>
      <w:r>
        <w:rPr>
          <w:rFonts w:eastAsia="Calibri" w:cs="Times New Roman"/>
          <w:sz w:val="22"/>
        </w:rPr>
        <w:t>DG ENEST</w:t>
      </w:r>
      <w:r>
        <w:rPr>
          <w:rFonts w:eastAsia="Calibri" w:cs="Times New Roman"/>
          <w:sz w:val="22"/>
        </w:rPr>
        <w:tab/>
      </w:r>
      <w:r>
        <w:rPr>
          <w:rFonts w:eastAsia="Calibri" w:cs="Times New Roman"/>
          <w:sz w:val="22"/>
        </w:rPr>
        <w:tab/>
      </w:r>
      <w:r w:rsidRPr="007601D4">
        <w:rPr>
          <w:rFonts w:eastAsia="Calibri" w:cs="Times New Roman"/>
          <w:sz w:val="22"/>
        </w:rPr>
        <w:t xml:space="preserve">Directorate General </w:t>
      </w:r>
      <w:r w:rsidRPr="007601D4">
        <w:t>for Enlargement and Eastern Neighbourhood</w:t>
      </w:r>
      <w:r w:rsidR="008F4868" w:rsidRPr="007601D4">
        <w:rPr>
          <w:rFonts w:eastAsia="Calibri" w:cs="Times New Roman"/>
          <w:sz w:val="22"/>
        </w:rPr>
        <w:t xml:space="preserve">  </w:t>
      </w:r>
    </w:p>
    <w:p w14:paraId="47346E57" w14:textId="171E0E45" w:rsidR="00D80107" w:rsidRPr="007601D4" w:rsidRDefault="00D80107" w:rsidP="0004382C">
      <w:pPr>
        <w:spacing w:line="360" w:lineRule="auto"/>
        <w:contextualSpacing/>
        <w:jc w:val="left"/>
        <w:rPr>
          <w:rFonts w:eastAsia="Calibri" w:cs="Times New Roman"/>
          <w:sz w:val="22"/>
        </w:rPr>
      </w:pPr>
      <w:r w:rsidRPr="007601D4">
        <w:rPr>
          <w:rFonts w:eastAsia="Calibri" w:cs="Times New Roman"/>
          <w:sz w:val="22"/>
        </w:rPr>
        <w:t>DMA</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 xml:space="preserve">Digital Markets Act </w:t>
      </w:r>
    </w:p>
    <w:p w14:paraId="6361F1F8" w14:textId="1FD41531" w:rsidR="009A4117" w:rsidRPr="007601D4" w:rsidRDefault="009A4117" w:rsidP="0004382C">
      <w:pPr>
        <w:spacing w:line="360" w:lineRule="auto"/>
        <w:contextualSpacing/>
        <w:jc w:val="left"/>
        <w:rPr>
          <w:rFonts w:eastAsia="Calibri" w:cs="Times New Roman"/>
          <w:sz w:val="22"/>
        </w:rPr>
      </w:pPr>
      <w:r w:rsidRPr="007601D4">
        <w:rPr>
          <w:rFonts w:eastAsia="Calibri" w:cs="Times New Roman"/>
          <w:sz w:val="22"/>
        </w:rPr>
        <w:t>DPPI SEE</w:t>
      </w:r>
      <w:r w:rsidRPr="007601D4">
        <w:rPr>
          <w:rFonts w:eastAsia="Calibri" w:cs="Times New Roman"/>
          <w:sz w:val="22"/>
        </w:rPr>
        <w:tab/>
      </w:r>
      <w:r w:rsidRPr="007601D4">
        <w:rPr>
          <w:rFonts w:eastAsia="Calibri" w:cs="Times New Roman"/>
          <w:sz w:val="22"/>
        </w:rPr>
        <w:tab/>
      </w:r>
      <w:r w:rsidR="00C048E9" w:rsidRPr="007601D4">
        <w:rPr>
          <w:rFonts w:eastAsia="Calibri" w:cs="Times New Roman"/>
          <w:sz w:val="22"/>
        </w:rPr>
        <w:t xml:space="preserve">Disaster Preparedness and Prevention Initiative for </w:t>
      </w:r>
      <w:proofErr w:type="gramStart"/>
      <w:r w:rsidR="00C048E9" w:rsidRPr="007601D4">
        <w:rPr>
          <w:rFonts w:eastAsia="Calibri" w:cs="Times New Roman"/>
          <w:sz w:val="22"/>
        </w:rPr>
        <w:t>South Eastern</w:t>
      </w:r>
      <w:proofErr w:type="gramEnd"/>
      <w:r w:rsidR="00C048E9" w:rsidRPr="007601D4">
        <w:rPr>
          <w:rFonts w:eastAsia="Calibri" w:cs="Times New Roman"/>
          <w:sz w:val="22"/>
        </w:rPr>
        <w:t xml:space="preserve"> Europe </w:t>
      </w:r>
    </w:p>
    <w:p w14:paraId="7B6AC6B4" w14:textId="375838BB" w:rsidR="001F4748" w:rsidRPr="007601D4" w:rsidRDefault="001F4748" w:rsidP="0004382C">
      <w:pPr>
        <w:spacing w:line="360" w:lineRule="auto"/>
        <w:contextualSpacing/>
        <w:jc w:val="left"/>
        <w:rPr>
          <w:rFonts w:eastAsia="Calibri" w:cs="Times New Roman"/>
          <w:sz w:val="22"/>
        </w:rPr>
      </w:pPr>
      <w:r w:rsidRPr="007601D4">
        <w:rPr>
          <w:rFonts w:eastAsia="Calibri" w:cs="Times New Roman"/>
          <w:sz w:val="22"/>
        </w:rPr>
        <w:t>DSA</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Digital Service Act</w:t>
      </w:r>
    </w:p>
    <w:p w14:paraId="159262D3"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EC           </w:t>
      </w:r>
      <w:r w:rsidRPr="007601D4">
        <w:rPr>
          <w:rFonts w:eastAsia="Calibri" w:cs="Times New Roman"/>
          <w:sz w:val="22"/>
        </w:rPr>
        <w:tab/>
      </w:r>
      <w:r w:rsidRPr="007601D4">
        <w:rPr>
          <w:rFonts w:eastAsia="Calibri" w:cs="Times New Roman"/>
          <w:sz w:val="22"/>
        </w:rPr>
        <w:tab/>
        <w:t xml:space="preserve">European Commission  </w:t>
      </w:r>
    </w:p>
    <w:p w14:paraId="2AAF06A1" w14:textId="55E1908D" w:rsidR="00FC68C5" w:rsidRPr="007601D4" w:rsidRDefault="00FC68C5" w:rsidP="0004382C">
      <w:pPr>
        <w:spacing w:line="360" w:lineRule="auto"/>
        <w:contextualSpacing/>
        <w:jc w:val="left"/>
        <w:rPr>
          <w:rFonts w:eastAsia="Calibri" w:cs="Times New Roman"/>
          <w:sz w:val="22"/>
        </w:rPr>
      </w:pPr>
      <w:r w:rsidRPr="007601D4">
        <w:rPr>
          <w:rFonts w:eastAsia="Calibri" w:cs="Times New Roman"/>
          <w:sz w:val="22"/>
        </w:rPr>
        <w:t>EEAS</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European External Action Service</w:t>
      </w:r>
    </w:p>
    <w:p w14:paraId="64F6BA83" w14:textId="56296F9A" w:rsidR="00893C45" w:rsidRPr="007601D4" w:rsidRDefault="00893C45" w:rsidP="0004382C">
      <w:pPr>
        <w:spacing w:line="360" w:lineRule="auto"/>
        <w:contextualSpacing/>
        <w:jc w:val="left"/>
        <w:rPr>
          <w:rFonts w:eastAsia="Calibri" w:cs="Times New Roman"/>
          <w:sz w:val="22"/>
        </w:rPr>
      </w:pPr>
      <w:r w:rsidRPr="007601D4">
        <w:rPr>
          <w:rFonts w:eastAsia="Calibri" w:cs="Times New Roman"/>
          <w:sz w:val="22"/>
        </w:rPr>
        <w:t>EIOPA</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 xml:space="preserve">European </w:t>
      </w:r>
      <w:r w:rsidR="009A4117" w:rsidRPr="007601D4">
        <w:rPr>
          <w:rFonts w:eastAsia="Calibri" w:cs="Times New Roman"/>
          <w:sz w:val="22"/>
        </w:rPr>
        <w:t>Insurance and Occupational Authority</w:t>
      </w:r>
    </w:p>
    <w:p w14:paraId="00DB7DFA" w14:textId="126540DD" w:rsidR="00481A5F" w:rsidRPr="007601D4" w:rsidRDefault="00481A5F" w:rsidP="0004382C">
      <w:pPr>
        <w:spacing w:line="360" w:lineRule="auto"/>
        <w:contextualSpacing/>
        <w:jc w:val="left"/>
        <w:rPr>
          <w:rFonts w:eastAsia="Calibri" w:cs="Times New Roman"/>
          <w:sz w:val="22"/>
        </w:rPr>
      </w:pPr>
      <w:r w:rsidRPr="007601D4">
        <w:rPr>
          <w:rFonts w:eastAsia="Calibri" w:cs="Times New Roman"/>
          <w:sz w:val="22"/>
        </w:rPr>
        <w:t>EIP</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Eco Industrial Parks</w:t>
      </w:r>
    </w:p>
    <w:p w14:paraId="31F9191F" w14:textId="7340E9F5" w:rsidR="00F35E35"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EJTN</w:t>
      </w:r>
      <w:r w:rsidR="00F35E35" w:rsidRPr="007601D4">
        <w:tab/>
      </w:r>
      <w:r w:rsidR="00F35E35" w:rsidRPr="007601D4">
        <w:tab/>
      </w:r>
      <w:r w:rsidR="00F35E35" w:rsidRPr="007601D4">
        <w:tab/>
      </w:r>
      <w:r w:rsidRPr="007601D4">
        <w:rPr>
          <w:rFonts w:eastAsia="Calibri" w:cs="Times New Roman"/>
          <w:sz w:val="22"/>
        </w:rPr>
        <w:t>European Judicial Training Network</w:t>
      </w:r>
    </w:p>
    <w:p w14:paraId="69720501" w14:textId="3A9FA087" w:rsidR="00BE7A26" w:rsidRPr="007601D4" w:rsidRDefault="00BE7A26" w:rsidP="03D6C3D3">
      <w:pPr>
        <w:spacing w:line="360" w:lineRule="auto"/>
        <w:contextualSpacing/>
        <w:jc w:val="left"/>
        <w:rPr>
          <w:rFonts w:eastAsia="Calibri" w:cs="Times New Roman"/>
          <w:sz w:val="22"/>
        </w:rPr>
      </w:pPr>
      <w:r w:rsidRPr="007601D4">
        <w:rPr>
          <w:rFonts w:eastAsia="Calibri" w:cs="Times New Roman"/>
          <w:sz w:val="22"/>
        </w:rPr>
        <w:t>ELA</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European Labour Authority</w:t>
      </w:r>
    </w:p>
    <w:p w14:paraId="3C459334" w14:textId="77777777" w:rsidR="007F4E48" w:rsidRPr="007601D4" w:rsidRDefault="007F4E48" w:rsidP="0004382C">
      <w:pPr>
        <w:spacing w:line="360" w:lineRule="auto"/>
        <w:contextualSpacing/>
        <w:jc w:val="left"/>
        <w:rPr>
          <w:rFonts w:eastAsia="Calibri" w:cs="Times New Roman"/>
          <w:sz w:val="22"/>
        </w:rPr>
      </w:pPr>
      <w:r w:rsidRPr="007601D4">
        <w:rPr>
          <w:rFonts w:eastAsia="Calibri" w:cs="Times New Roman"/>
          <w:sz w:val="22"/>
        </w:rPr>
        <w:t>ENQA</w:t>
      </w:r>
      <w:r w:rsidRPr="007601D4">
        <w:t xml:space="preserve"> </w:t>
      </w:r>
      <w:r w:rsidRPr="007601D4">
        <w:tab/>
      </w:r>
      <w:r w:rsidRPr="007601D4">
        <w:tab/>
      </w:r>
      <w:r w:rsidRPr="007601D4">
        <w:tab/>
      </w:r>
      <w:r w:rsidRPr="007601D4">
        <w:rPr>
          <w:rFonts w:eastAsia="Calibri" w:cs="Times New Roman"/>
          <w:sz w:val="22"/>
        </w:rPr>
        <w:t>European Association for Quality Assurance in Higher Education</w:t>
      </w:r>
    </w:p>
    <w:p w14:paraId="5CE61099" w14:textId="6CD866D7" w:rsidR="004B5B1F"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EPSR </w:t>
      </w:r>
      <w:r w:rsidR="004B5B1F" w:rsidRPr="007601D4">
        <w:tab/>
      </w:r>
      <w:r w:rsidR="004B5B1F" w:rsidRPr="007601D4">
        <w:tab/>
      </w:r>
      <w:r w:rsidR="004B5B1F" w:rsidRPr="007601D4">
        <w:tab/>
      </w:r>
      <w:r w:rsidRPr="007601D4">
        <w:rPr>
          <w:rFonts w:eastAsia="Calibri" w:cs="Times New Roman"/>
          <w:sz w:val="22"/>
        </w:rPr>
        <w:t>European Pillar of Social Rights</w:t>
      </w:r>
    </w:p>
    <w:p w14:paraId="046E9580" w14:textId="7B38F678" w:rsidR="007F4E4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ESAP        </w:t>
      </w:r>
      <w:r w:rsidR="007F4E48" w:rsidRPr="007601D4">
        <w:tab/>
      </w:r>
      <w:r w:rsidRPr="007601D4">
        <w:rPr>
          <w:rFonts w:eastAsia="Calibri" w:cs="Times New Roman"/>
          <w:sz w:val="22"/>
        </w:rPr>
        <w:t xml:space="preserve"> </w:t>
      </w:r>
      <w:r w:rsidR="007F4E48" w:rsidRPr="007601D4">
        <w:tab/>
      </w:r>
      <w:r w:rsidRPr="007601D4">
        <w:rPr>
          <w:rFonts w:eastAsia="Calibri" w:cs="Times New Roman"/>
          <w:sz w:val="22"/>
        </w:rPr>
        <w:t xml:space="preserve">Employment and Social Affairs Platform Project  </w:t>
      </w:r>
    </w:p>
    <w:p w14:paraId="2DF8A4BA" w14:textId="2DE76AE5" w:rsidR="005C12F7" w:rsidRPr="007601D4" w:rsidRDefault="005C12F7" w:rsidP="03D6C3D3">
      <w:pPr>
        <w:spacing w:line="360" w:lineRule="auto"/>
        <w:contextualSpacing/>
        <w:jc w:val="left"/>
        <w:rPr>
          <w:rFonts w:eastAsia="Calibri" w:cs="Times New Roman"/>
          <w:sz w:val="22"/>
        </w:rPr>
      </w:pPr>
      <w:r w:rsidRPr="007601D4">
        <w:rPr>
          <w:rFonts w:eastAsia="Calibri" w:cs="Times New Roman"/>
          <w:sz w:val="22"/>
        </w:rPr>
        <w:lastRenderedPageBreak/>
        <w:t>ESG</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r>
      <w:r w:rsidR="00D64E12" w:rsidRPr="007601D4">
        <w:rPr>
          <w:rFonts w:eastAsia="Calibri" w:cs="Times New Roman"/>
          <w:sz w:val="22"/>
        </w:rPr>
        <w:t>European Standards and Guidelines</w:t>
      </w:r>
    </w:p>
    <w:p w14:paraId="216A0633" w14:textId="77777777" w:rsidR="00276360" w:rsidRPr="007601D4" w:rsidRDefault="003D5B1D" w:rsidP="0004382C">
      <w:pPr>
        <w:spacing w:line="360" w:lineRule="auto"/>
        <w:contextualSpacing/>
        <w:jc w:val="left"/>
        <w:rPr>
          <w:rFonts w:eastAsia="Calibri" w:cs="Times New Roman"/>
          <w:sz w:val="22"/>
        </w:rPr>
      </w:pPr>
      <w:r w:rsidRPr="007601D4">
        <w:rPr>
          <w:rFonts w:eastAsia="Calibri" w:cs="Times New Roman"/>
          <w:sz w:val="22"/>
        </w:rPr>
        <w:t>ESS</w:t>
      </w:r>
      <w:r w:rsidRPr="007601D4">
        <w:t xml:space="preserve"> </w:t>
      </w:r>
      <w:r w:rsidR="00276360" w:rsidRPr="007601D4">
        <w:tab/>
      </w:r>
      <w:r w:rsidR="00276360" w:rsidRPr="007601D4">
        <w:tab/>
      </w:r>
      <w:r w:rsidR="00276360" w:rsidRPr="007601D4">
        <w:tab/>
      </w:r>
      <w:r w:rsidR="00276360" w:rsidRPr="007601D4">
        <w:rPr>
          <w:rFonts w:eastAsia="Calibri" w:cs="Times New Roman"/>
          <w:sz w:val="22"/>
        </w:rPr>
        <w:t>Employment Service of Slovenia</w:t>
      </w:r>
    </w:p>
    <w:p w14:paraId="772C49C9" w14:textId="0CE6D11E" w:rsidR="007508C7" w:rsidRPr="007601D4" w:rsidRDefault="007508C7" w:rsidP="0004382C">
      <w:pPr>
        <w:spacing w:line="360" w:lineRule="auto"/>
        <w:contextualSpacing/>
        <w:jc w:val="left"/>
        <w:rPr>
          <w:rFonts w:eastAsia="Calibri" w:cs="Times New Roman"/>
          <w:sz w:val="22"/>
        </w:rPr>
      </w:pPr>
      <w:r w:rsidRPr="007601D4">
        <w:rPr>
          <w:rFonts w:eastAsia="Calibri" w:cs="Times New Roman"/>
          <w:sz w:val="22"/>
        </w:rPr>
        <w:t>ETF</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European Training F</w:t>
      </w:r>
      <w:r w:rsidR="00001FDF" w:rsidRPr="007601D4">
        <w:rPr>
          <w:rFonts w:eastAsia="Calibri" w:cs="Times New Roman"/>
          <w:sz w:val="22"/>
        </w:rPr>
        <w:t xml:space="preserve">oundation </w:t>
      </w:r>
    </w:p>
    <w:p w14:paraId="722D18B6" w14:textId="3E975B47" w:rsidR="00B23E52" w:rsidRPr="007601D4" w:rsidRDefault="00B23E52" w:rsidP="0004382C">
      <w:pPr>
        <w:spacing w:line="360" w:lineRule="auto"/>
        <w:contextualSpacing/>
        <w:jc w:val="left"/>
        <w:rPr>
          <w:sz w:val="22"/>
        </w:rPr>
      </w:pPr>
      <w:r w:rsidRPr="007601D4">
        <w:rPr>
          <w:rFonts w:eastAsia="Calibri" w:cs="Times New Roman"/>
          <w:sz w:val="22"/>
        </w:rPr>
        <w:t>EURES</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r>
      <w:r w:rsidR="005B0692" w:rsidRPr="007601D4">
        <w:rPr>
          <w:rFonts w:eastAsia="Calibri" w:cs="Times New Roman"/>
          <w:sz w:val="22"/>
        </w:rPr>
        <w:t>European Employment Service</w:t>
      </w:r>
    </w:p>
    <w:p w14:paraId="21C5A0DD" w14:textId="5D6559B8"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FDI           </w:t>
      </w:r>
      <w:r w:rsidR="008F4868" w:rsidRPr="007601D4">
        <w:tab/>
      </w:r>
      <w:r w:rsidR="008F4868" w:rsidRPr="007601D4">
        <w:tab/>
      </w:r>
      <w:r w:rsidRPr="007601D4">
        <w:rPr>
          <w:rFonts w:eastAsia="Calibri" w:cs="Times New Roman"/>
          <w:sz w:val="22"/>
        </w:rPr>
        <w:t xml:space="preserve">Foreign Direct Investment  </w:t>
      </w:r>
    </w:p>
    <w:p w14:paraId="31195A61" w14:textId="68F1CD61" w:rsidR="00DB0321" w:rsidRPr="007601D4" w:rsidRDefault="00DB0321" w:rsidP="03D6C3D3">
      <w:pPr>
        <w:spacing w:line="360" w:lineRule="auto"/>
        <w:contextualSpacing/>
        <w:jc w:val="left"/>
        <w:rPr>
          <w:rFonts w:eastAsia="Calibri" w:cs="Times New Roman"/>
          <w:sz w:val="22"/>
        </w:rPr>
      </w:pPr>
      <w:r w:rsidRPr="007601D4">
        <w:rPr>
          <w:rFonts w:eastAsia="Calibri" w:cs="Times New Roman"/>
          <w:sz w:val="22"/>
        </w:rPr>
        <w:t>GARI</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r>
      <w:r w:rsidR="00C03BCA" w:rsidRPr="007601D4">
        <w:rPr>
          <w:rFonts w:eastAsia="Calibri" w:cs="Times New Roman"/>
          <w:sz w:val="22"/>
        </w:rPr>
        <w:t xml:space="preserve">Report on Implementation of the Green Agenda </w:t>
      </w:r>
      <w:r w:rsidR="003835A3" w:rsidRPr="007601D4">
        <w:rPr>
          <w:rFonts w:eastAsia="Calibri" w:cs="Times New Roman"/>
          <w:sz w:val="22"/>
        </w:rPr>
        <w:t>for the Western Balkans</w:t>
      </w:r>
      <w:r w:rsidR="00C03BCA" w:rsidRPr="007601D4">
        <w:rPr>
          <w:rFonts w:eastAsia="Calibri" w:cs="Times New Roman"/>
          <w:sz w:val="22"/>
        </w:rPr>
        <w:t xml:space="preserve"> </w:t>
      </w:r>
    </w:p>
    <w:p w14:paraId="175866E3"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GAWB          </w:t>
      </w:r>
      <w:r w:rsidRPr="007601D4">
        <w:rPr>
          <w:rFonts w:eastAsia="Calibri" w:cs="Times New Roman"/>
          <w:sz w:val="22"/>
        </w:rPr>
        <w:tab/>
      </w:r>
      <w:r w:rsidRPr="007601D4">
        <w:rPr>
          <w:rFonts w:eastAsia="Calibri" w:cs="Times New Roman"/>
          <w:sz w:val="22"/>
        </w:rPr>
        <w:tab/>
        <w:t xml:space="preserve">Green Agenda for the Western Balkans  </w:t>
      </w:r>
    </w:p>
    <w:p w14:paraId="356FDCDF" w14:textId="77777777" w:rsidR="0097023E"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GIZ </w:t>
      </w:r>
      <w:r w:rsidR="008F4868" w:rsidRPr="007601D4">
        <w:tab/>
      </w:r>
      <w:r w:rsidR="008F4868" w:rsidRPr="007601D4">
        <w:tab/>
      </w:r>
      <w:r w:rsidR="008F4868" w:rsidRPr="007601D4">
        <w:tab/>
      </w:r>
      <w:r w:rsidRPr="007601D4">
        <w:rPr>
          <w:rFonts w:eastAsia="Calibri" w:cs="Times New Roman"/>
          <w:sz w:val="22"/>
        </w:rPr>
        <w:t xml:space="preserve">Deutsche Gesellschaft fur Internationale Zusammenarbeit  </w:t>
      </w:r>
    </w:p>
    <w:p w14:paraId="3F2E5ECE" w14:textId="5D7F8960" w:rsidR="00481A5F" w:rsidRPr="007601D4" w:rsidRDefault="00481A5F" w:rsidP="03D6C3D3">
      <w:pPr>
        <w:spacing w:line="360" w:lineRule="auto"/>
        <w:contextualSpacing/>
        <w:jc w:val="left"/>
        <w:rPr>
          <w:rFonts w:eastAsia="Calibri" w:cs="Times New Roman"/>
          <w:sz w:val="22"/>
        </w:rPr>
      </w:pPr>
      <w:r w:rsidRPr="007601D4">
        <w:rPr>
          <w:rFonts w:eastAsia="Calibri" w:cs="Times New Roman"/>
          <w:sz w:val="22"/>
        </w:rPr>
        <w:t>GPP</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 xml:space="preserve">Green Public Procurement </w:t>
      </w:r>
    </w:p>
    <w:p w14:paraId="5094C953" w14:textId="610EEFA8" w:rsidR="00F4277C" w:rsidRPr="007601D4" w:rsidRDefault="00F4277C" w:rsidP="03D6C3D3">
      <w:pPr>
        <w:spacing w:line="360" w:lineRule="auto"/>
        <w:contextualSpacing/>
        <w:jc w:val="left"/>
        <w:rPr>
          <w:rFonts w:eastAsia="Calibri" w:cs="Times New Roman"/>
          <w:sz w:val="22"/>
        </w:rPr>
      </w:pPr>
      <w:r w:rsidRPr="007601D4">
        <w:rPr>
          <w:rFonts w:eastAsia="Calibri" w:cs="Times New Roman"/>
          <w:sz w:val="22"/>
        </w:rPr>
        <w:t>GSGS</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Global Sanitation Graduate School</w:t>
      </w:r>
    </w:p>
    <w:p w14:paraId="1F7918A7" w14:textId="77777777" w:rsidR="00C365C0"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ICT </w:t>
      </w:r>
      <w:r w:rsidR="0097023E" w:rsidRPr="007601D4">
        <w:tab/>
      </w:r>
      <w:r w:rsidR="0097023E" w:rsidRPr="007601D4">
        <w:tab/>
      </w:r>
      <w:r w:rsidR="0097023E" w:rsidRPr="007601D4">
        <w:tab/>
      </w:r>
      <w:r w:rsidRPr="007601D4">
        <w:rPr>
          <w:rFonts w:eastAsia="Calibri" w:cs="Times New Roman"/>
          <w:sz w:val="22"/>
        </w:rPr>
        <w:t>Information and Communication Technology</w:t>
      </w:r>
    </w:p>
    <w:p w14:paraId="03B376A5" w14:textId="77777777"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IFIs           </w:t>
      </w:r>
      <w:r w:rsidR="00C365C0" w:rsidRPr="007601D4">
        <w:tab/>
      </w:r>
      <w:r w:rsidR="00C365C0" w:rsidRPr="007601D4">
        <w:tab/>
      </w:r>
      <w:r w:rsidRPr="007601D4">
        <w:rPr>
          <w:rFonts w:eastAsia="Calibri" w:cs="Times New Roman"/>
          <w:sz w:val="22"/>
        </w:rPr>
        <w:t>International Financial Institutions</w:t>
      </w:r>
    </w:p>
    <w:p w14:paraId="16DB3F5B"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IISG         </w:t>
      </w:r>
      <w:r w:rsidRPr="007601D4">
        <w:rPr>
          <w:rFonts w:eastAsia="Calibri" w:cs="Times New Roman"/>
          <w:sz w:val="22"/>
        </w:rPr>
        <w:tab/>
      </w:r>
      <w:r w:rsidRPr="007601D4">
        <w:rPr>
          <w:rFonts w:eastAsia="Calibri" w:cs="Times New Roman"/>
          <w:sz w:val="22"/>
        </w:rPr>
        <w:tab/>
        <w:t xml:space="preserve">Integrative Internal Security Governance  </w:t>
      </w:r>
    </w:p>
    <w:p w14:paraId="68D782B4" w14:textId="3AF247B9" w:rsidR="00BF14A4" w:rsidRPr="00D94A62" w:rsidRDefault="00BF14A4" w:rsidP="0004382C">
      <w:pPr>
        <w:spacing w:line="360" w:lineRule="auto"/>
        <w:contextualSpacing/>
        <w:jc w:val="left"/>
        <w:rPr>
          <w:rFonts w:eastAsia="Times New Roman" w:cs="Times New Roman"/>
          <w:sz w:val="22"/>
        </w:rPr>
      </w:pPr>
      <w:r w:rsidRPr="00D94A62">
        <w:rPr>
          <w:rFonts w:eastAsia="Times New Roman" w:cs="Times New Roman"/>
          <w:sz w:val="22"/>
        </w:rPr>
        <w:t>IUCN</w:t>
      </w:r>
      <w:r w:rsidRPr="00D94A62">
        <w:rPr>
          <w:rFonts w:eastAsia="Times New Roman" w:cs="Times New Roman"/>
          <w:sz w:val="22"/>
        </w:rPr>
        <w:tab/>
      </w:r>
      <w:r w:rsidRPr="00D94A62">
        <w:rPr>
          <w:rFonts w:eastAsia="Times New Roman" w:cs="Times New Roman"/>
          <w:sz w:val="22"/>
        </w:rPr>
        <w:tab/>
      </w:r>
      <w:r w:rsidRPr="00D94A62">
        <w:rPr>
          <w:rFonts w:eastAsia="Times New Roman" w:cs="Times New Roman"/>
          <w:sz w:val="22"/>
        </w:rPr>
        <w:tab/>
        <w:t xml:space="preserve">International Union for Conservation of Nature </w:t>
      </w:r>
    </w:p>
    <w:p w14:paraId="7232049D" w14:textId="0DF132DC" w:rsidR="007A2EF9" w:rsidRPr="00D95E4A" w:rsidRDefault="007A2EF9" w:rsidP="0004382C">
      <w:pPr>
        <w:spacing w:line="360" w:lineRule="auto"/>
        <w:contextualSpacing/>
        <w:jc w:val="left"/>
        <w:rPr>
          <w:rFonts w:eastAsia="Calibri" w:cs="Times New Roman"/>
          <w:sz w:val="22"/>
        </w:rPr>
      </w:pPr>
      <w:r w:rsidRPr="00D94A62">
        <w:rPr>
          <w:rFonts w:eastAsia="Times New Roman" w:cs="Times New Roman"/>
          <w:sz w:val="22"/>
        </w:rPr>
        <w:t>JTI</w:t>
      </w:r>
      <w:r w:rsidRPr="00D94A62">
        <w:rPr>
          <w:rFonts w:eastAsia="Times New Roman" w:cs="Times New Roman"/>
          <w:sz w:val="22"/>
        </w:rPr>
        <w:tab/>
      </w:r>
      <w:r w:rsidRPr="00D94A62">
        <w:rPr>
          <w:rFonts w:eastAsia="Times New Roman" w:cs="Times New Roman"/>
          <w:sz w:val="22"/>
        </w:rPr>
        <w:tab/>
      </w:r>
      <w:r w:rsidRPr="00D94A62">
        <w:rPr>
          <w:rFonts w:eastAsia="Times New Roman" w:cs="Times New Roman"/>
          <w:sz w:val="22"/>
        </w:rPr>
        <w:tab/>
        <w:t xml:space="preserve">Judicial </w:t>
      </w:r>
      <w:r w:rsidR="00FD01C4" w:rsidRPr="00D94A62">
        <w:rPr>
          <w:rFonts w:eastAsia="Times New Roman" w:cs="Times New Roman"/>
          <w:sz w:val="22"/>
        </w:rPr>
        <w:t>T</w:t>
      </w:r>
      <w:r w:rsidRPr="00D94A62">
        <w:rPr>
          <w:rFonts w:eastAsia="Times New Roman" w:cs="Times New Roman"/>
          <w:sz w:val="22"/>
        </w:rPr>
        <w:t>raining Institutes</w:t>
      </w:r>
    </w:p>
    <w:p w14:paraId="741A4E5D" w14:textId="77777777" w:rsidR="004D6CCD" w:rsidRPr="007601D4" w:rsidRDefault="004D6CCD" w:rsidP="0004382C">
      <w:pPr>
        <w:spacing w:line="360" w:lineRule="auto"/>
        <w:contextualSpacing/>
        <w:jc w:val="left"/>
        <w:rPr>
          <w:rFonts w:eastAsia="Calibri" w:cs="Times New Roman"/>
          <w:sz w:val="22"/>
        </w:rPr>
      </w:pPr>
      <w:r w:rsidRPr="007601D4">
        <w:rPr>
          <w:rFonts w:eastAsia="Calibri" w:cs="Times New Roman"/>
          <w:sz w:val="22"/>
        </w:rPr>
        <w:t xml:space="preserve">JWGI </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Joint Working Group on Investments</w:t>
      </w:r>
    </w:p>
    <w:p w14:paraId="3593DC0C" w14:textId="681F8038"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LO      </w:t>
      </w:r>
      <w:r w:rsidR="00E97F65" w:rsidRPr="007601D4">
        <w:tab/>
      </w:r>
      <w:r w:rsidR="00E97F65" w:rsidRPr="007601D4">
        <w:tab/>
      </w:r>
      <w:r w:rsidR="00E97F65" w:rsidRPr="007601D4">
        <w:tab/>
      </w:r>
      <w:r w:rsidRPr="007601D4">
        <w:rPr>
          <w:rFonts w:eastAsia="Calibri" w:cs="Times New Roman"/>
          <w:sz w:val="22"/>
        </w:rPr>
        <w:t>Liaison Office</w:t>
      </w:r>
    </w:p>
    <w:p w14:paraId="10173D0F" w14:textId="65C2D63C" w:rsidR="005E0C29" w:rsidRPr="007601D4" w:rsidRDefault="005E0C29" w:rsidP="03D6C3D3">
      <w:pPr>
        <w:spacing w:line="360" w:lineRule="auto"/>
        <w:contextualSpacing/>
        <w:jc w:val="left"/>
        <w:rPr>
          <w:rFonts w:eastAsia="Calibri" w:cs="Times New Roman"/>
          <w:sz w:val="22"/>
        </w:rPr>
      </w:pPr>
      <w:r w:rsidRPr="007601D4">
        <w:rPr>
          <w:rFonts w:eastAsia="Calibri" w:cs="Times New Roman"/>
          <w:sz w:val="22"/>
        </w:rPr>
        <w:t>MAG</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r>
      <w:r w:rsidR="001877F1" w:rsidRPr="007601D4">
        <w:rPr>
          <w:rFonts w:eastAsia="Calibri" w:cs="Times New Roman"/>
          <w:sz w:val="22"/>
        </w:rPr>
        <w:t>Multinational Advisory Group</w:t>
      </w:r>
    </w:p>
    <w:p w14:paraId="046D7BA6" w14:textId="77777777" w:rsidR="00497617" w:rsidRPr="007601D4" w:rsidRDefault="00497617" w:rsidP="0004382C">
      <w:pPr>
        <w:spacing w:line="360" w:lineRule="auto"/>
        <w:contextualSpacing/>
        <w:jc w:val="left"/>
        <w:rPr>
          <w:rFonts w:eastAsia="Calibri" w:cs="Times New Roman"/>
          <w:sz w:val="22"/>
        </w:rPr>
      </w:pPr>
      <w:r w:rsidRPr="007601D4">
        <w:rPr>
          <w:rFonts w:eastAsia="Calibri" w:cs="Times New Roman"/>
          <w:sz w:val="22"/>
        </w:rPr>
        <w:t>MAPs</w:t>
      </w:r>
      <w:r w:rsidRPr="007601D4">
        <w:rPr>
          <w:sz w:val="22"/>
        </w:rPr>
        <w:t xml:space="preserve"> </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Mutual Assistance Projects</w:t>
      </w:r>
    </w:p>
    <w:p w14:paraId="772D4720"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MoU           </w:t>
      </w:r>
      <w:r w:rsidRPr="007601D4">
        <w:rPr>
          <w:rFonts w:eastAsia="Calibri" w:cs="Times New Roman"/>
          <w:sz w:val="22"/>
        </w:rPr>
        <w:tab/>
      </w:r>
      <w:r w:rsidRPr="007601D4">
        <w:rPr>
          <w:rFonts w:eastAsia="Calibri" w:cs="Times New Roman"/>
          <w:sz w:val="22"/>
        </w:rPr>
        <w:tab/>
        <w:t xml:space="preserve">Memorandum of Understanding  </w:t>
      </w:r>
    </w:p>
    <w:p w14:paraId="1F971762" w14:textId="1EBF6E17" w:rsidR="003871D6"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OECD </w:t>
      </w:r>
      <w:r w:rsidR="003871D6" w:rsidRPr="007601D4">
        <w:tab/>
      </w:r>
      <w:r w:rsidR="003871D6" w:rsidRPr="007601D4">
        <w:tab/>
      </w:r>
      <w:r w:rsidR="003871D6" w:rsidRPr="007601D4">
        <w:tab/>
      </w:r>
      <w:r w:rsidRPr="007601D4">
        <w:rPr>
          <w:rFonts w:eastAsia="Calibri" w:cs="Times New Roman"/>
          <w:sz w:val="22"/>
        </w:rPr>
        <w:t>Organisation for Economic Cooperation and Development</w:t>
      </w:r>
    </w:p>
    <w:p w14:paraId="0268D0BD" w14:textId="77777777"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PD            </w:t>
      </w:r>
      <w:r w:rsidR="008F4868" w:rsidRPr="007601D4">
        <w:tab/>
      </w:r>
      <w:r w:rsidR="008F4868" w:rsidRPr="007601D4">
        <w:tab/>
      </w:r>
      <w:r w:rsidRPr="007601D4">
        <w:rPr>
          <w:rFonts w:eastAsia="Calibri" w:cs="Times New Roman"/>
          <w:sz w:val="22"/>
        </w:rPr>
        <w:t xml:space="preserve">Political Directors </w:t>
      </w:r>
    </w:p>
    <w:p w14:paraId="0A1C96BD"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PES           </w:t>
      </w:r>
      <w:r w:rsidRPr="007601D4">
        <w:rPr>
          <w:rFonts w:eastAsia="Calibri" w:cs="Times New Roman"/>
          <w:sz w:val="22"/>
        </w:rPr>
        <w:tab/>
      </w:r>
      <w:r w:rsidRPr="007601D4">
        <w:rPr>
          <w:rFonts w:eastAsia="Calibri" w:cs="Times New Roman"/>
          <w:sz w:val="22"/>
        </w:rPr>
        <w:tab/>
        <w:t xml:space="preserve">Public Employment Services  </w:t>
      </w:r>
    </w:p>
    <w:p w14:paraId="066EAB7A" w14:textId="6EA4C375"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RCC          </w:t>
      </w:r>
      <w:r w:rsidR="008F4868" w:rsidRPr="007601D4">
        <w:tab/>
      </w:r>
      <w:r w:rsidR="008F4868" w:rsidRPr="007601D4">
        <w:tab/>
      </w:r>
      <w:r w:rsidRPr="007601D4">
        <w:rPr>
          <w:rFonts w:eastAsia="Calibri" w:cs="Times New Roman"/>
          <w:sz w:val="22"/>
        </w:rPr>
        <w:t>Regional Cooperation Council</w:t>
      </w:r>
    </w:p>
    <w:p w14:paraId="105CE208" w14:textId="278A552A" w:rsidR="003269AA" w:rsidRPr="007601D4" w:rsidRDefault="003269AA" w:rsidP="0004382C">
      <w:pPr>
        <w:spacing w:line="360" w:lineRule="auto"/>
        <w:contextualSpacing/>
        <w:jc w:val="left"/>
        <w:rPr>
          <w:rFonts w:eastAsia="Calibri" w:cs="Times New Roman"/>
          <w:sz w:val="22"/>
        </w:rPr>
      </w:pPr>
      <w:r w:rsidRPr="007601D4">
        <w:rPr>
          <w:rFonts w:cs="Times New Roman"/>
          <w:szCs w:val="24"/>
        </w:rPr>
        <w:t xml:space="preserve">RNNC </w:t>
      </w:r>
      <w:r w:rsidRPr="007601D4">
        <w:rPr>
          <w:rFonts w:cs="Times New Roman"/>
          <w:szCs w:val="24"/>
        </w:rPr>
        <w:tab/>
      </w:r>
      <w:r w:rsidRPr="007601D4">
        <w:rPr>
          <w:rFonts w:cs="Times New Roman"/>
          <w:szCs w:val="24"/>
        </w:rPr>
        <w:tab/>
        <w:t>Regional Network of CT/P-CVE Coordinators</w:t>
      </w:r>
      <w:r w:rsidRPr="007601D4">
        <w:rPr>
          <w:rFonts w:cs="Times New Roman"/>
          <w:b/>
          <w:szCs w:val="24"/>
        </w:rPr>
        <w:t xml:space="preserve"> </w:t>
      </w:r>
    </w:p>
    <w:p w14:paraId="5EB52038"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RNWE          </w:t>
      </w:r>
      <w:r w:rsidRPr="007601D4">
        <w:rPr>
          <w:rFonts w:eastAsia="Calibri" w:cs="Times New Roman"/>
          <w:sz w:val="22"/>
        </w:rPr>
        <w:tab/>
      </w:r>
      <w:r w:rsidRPr="007601D4">
        <w:rPr>
          <w:rFonts w:eastAsia="Calibri" w:cs="Times New Roman"/>
          <w:sz w:val="22"/>
        </w:rPr>
        <w:tab/>
        <w:t xml:space="preserve">Regional Network of Women in Entrepreneurship  </w:t>
      </w:r>
    </w:p>
    <w:p w14:paraId="0E2B62DC" w14:textId="77777777" w:rsidR="008F4868" w:rsidRPr="007601D4" w:rsidRDefault="03D6C3D3" w:rsidP="03D6C3D3">
      <w:pPr>
        <w:spacing w:line="360" w:lineRule="auto"/>
        <w:contextualSpacing/>
        <w:jc w:val="left"/>
        <w:rPr>
          <w:rFonts w:eastAsia="Calibri" w:cs="Times New Roman"/>
          <w:sz w:val="22"/>
        </w:rPr>
      </w:pPr>
      <w:proofErr w:type="spellStart"/>
      <w:r w:rsidRPr="007601D4">
        <w:rPr>
          <w:rFonts w:eastAsia="Calibri" w:cs="Times New Roman"/>
          <w:sz w:val="22"/>
        </w:rPr>
        <w:t>RoP</w:t>
      </w:r>
      <w:proofErr w:type="spellEnd"/>
      <w:r w:rsidRPr="007601D4">
        <w:rPr>
          <w:rFonts w:eastAsia="Calibri" w:cs="Times New Roman"/>
          <w:sz w:val="22"/>
        </w:rPr>
        <w:t xml:space="preserve">           </w:t>
      </w:r>
      <w:r w:rsidR="008F4868" w:rsidRPr="007601D4">
        <w:tab/>
      </w:r>
      <w:r w:rsidR="008F4868" w:rsidRPr="007601D4">
        <w:tab/>
      </w:r>
      <w:r w:rsidRPr="007601D4">
        <w:rPr>
          <w:rFonts w:eastAsia="Calibri" w:cs="Times New Roman"/>
          <w:sz w:val="22"/>
        </w:rPr>
        <w:t xml:space="preserve">Rules of Procedure  </w:t>
      </w:r>
    </w:p>
    <w:p w14:paraId="421ED225" w14:textId="103B56CC" w:rsidR="00771CCD" w:rsidRPr="007601D4" w:rsidRDefault="00771CCD" w:rsidP="03D6C3D3">
      <w:pPr>
        <w:spacing w:line="360" w:lineRule="auto"/>
        <w:contextualSpacing/>
        <w:jc w:val="left"/>
        <w:rPr>
          <w:rFonts w:eastAsia="Calibri" w:cs="Times New Roman"/>
          <w:sz w:val="22"/>
        </w:rPr>
      </w:pPr>
      <w:r w:rsidRPr="007601D4">
        <w:rPr>
          <w:rFonts w:eastAsia="Calibri" w:cs="Times New Roman"/>
          <w:sz w:val="22"/>
        </w:rPr>
        <w:t>RRD</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r>
      <w:r w:rsidR="00FC0102" w:rsidRPr="007601D4">
        <w:rPr>
          <w:rFonts w:eastAsia="Calibri" w:cs="Times New Roman"/>
          <w:sz w:val="22"/>
        </w:rPr>
        <w:t>Regional Recognition Database</w:t>
      </w:r>
    </w:p>
    <w:p w14:paraId="1E834037" w14:textId="77777777" w:rsidR="009F2020"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RWG GAWB      </w:t>
      </w:r>
      <w:r w:rsidRPr="007601D4">
        <w:rPr>
          <w:rFonts w:eastAsia="Calibri" w:cs="Times New Roman"/>
          <w:sz w:val="22"/>
        </w:rPr>
        <w:tab/>
        <w:t xml:space="preserve">Regional Working Group on Green Agenda for the Western Balkans </w:t>
      </w:r>
    </w:p>
    <w:p w14:paraId="05D5BEDF" w14:textId="129CFEAF" w:rsidR="008F4868" w:rsidRPr="007601D4" w:rsidRDefault="009F2020" w:rsidP="0004382C">
      <w:pPr>
        <w:spacing w:line="360" w:lineRule="auto"/>
        <w:contextualSpacing/>
        <w:jc w:val="left"/>
        <w:rPr>
          <w:rFonts w:eastAsia="Calibri" w:cs="Times New Roman"/>
          <w:sz w:val="22"/>
        </w:rPr>
      </w:pPr>
      <w:r w:rsidRPr="007601D4">
        <w:rPr>
          <w:rFonts w:eastAsia="Calibri" w:cs="Times New Roman"/>
          <w:sz w:val="22"/>
        </w:rPr>
        <w:t>S3</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Smart Specialisation Strategy</w:t>
      </w:r>
      <w:r w:rsidR="008F4868" w:rsidRPr="007601D4">
        <w:rPr>
          <w:rFonts w:eastAsia="Calibri" w:cs="Times New Roman"/>
          <w:sz w:val="22"/>
        </w:rPr>
        <w:t xml:space="preserve"> </w:t>
      </w:r>
    </w:p>
    <w:p w14:paraId="74082024"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SDGs          </w:t>
      </w:r>
      <w:r w:rsidRPr="007601D4">
        <w:rPr>
          <w:rFonts w:eastAsia="Calibri" w:cs="Times New Roman"/>
          <w:sz w:val="22"/>
        </w:rPr>
        <w:tab/>
      </w:r>
      <w:r w:rsidRPr="007601D4">
        <w:rPr>
          <w:rFonts w:eastAsia="Calibri" w:cs="Times New Roman"/>
          <w:sz w:val="22"/>
        </w:rPr>
        <w:tab/>
        <w:t xml:space="preserve">Sustainable Development Goals  </w:t>
      </w:r>
    </w:p>
    <w:p w14:paraId="76C5E894" w14:textId="77777777"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SEE           </w:t>
      </w:r>
      <w:r w:rsidR="008F4868" w:rsidRPr="007601D4">
        <w:tab/>
      </w:r>
      <w:r w:rsidR="008F4868" w:rsidRPr="007601D4">
        <w:tab/>
      </w:r>
      <w:proofErr w:type="gramStart"/>
      <w:r w:rsidRPr="007601D4">
        <w:rPr>
          <w:rFonts w:eastAsia="Calibri" w:cs="Times New Roman"/>
          <w:sz w:val="22"/>
        </w:rPr>
        <w:t>South East</w:t>
      </w:r>
      <w:proofErr w:type="gramEnd"/>
      <w:r w:rsidRPr="007601D4">
        <w:rPr>
          <w:rFonts w:eastAsia="Calibri" w:cs="Times New Roman"/>
          <w:sz w:val="22"/>
        </w:rPr>
        <w:t xml:space="preserve"> Europe  </w:t>
      </w:r>
    </w:p>
    <w:p w14:paraId="21787E5D" w14:textId="77777777"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SEE IGI       </w:t>
      </w:r>
      <w:r w:rsidR="008F4868" w:rsidRPr="007601D4">
        <w:tab/>
      </w:r>
      <w:r w:rsidR="008F4868" w:rsidRPr="007601D4">
        <w:tab/>
      </w:r>
      <w:proofErr w:type="gramStart"/>
      <w:r w:rsidRPr="007601D4">
        <w:rPr>
          <w:rFonts w:eastAsia="Calibri" w:cs="Times New Roman"/>
          <w:sz w:val="22"/>
        </w:rPr>
        <w:t>South East</w:t>
      </w:r>
      <w:proofErr w:type="gramEnd"/>
      <w:r w:rsidRPr="007601D4">
        <w:rPr>
          <w:rFonts w:eastAsia="Calibri" w:cs="Times New Roman"/>
          <w:sz w:val="22"/>
        </w:rPr>
        <w:t xml:space="preserve"> Europe Inclusive Growth Index  </w:t>
      </w:r>
    </w:p>
    <w:p w14:paraId="26946E5C" w14:textId="77777777" w:rsidR="00637700"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SEE JTI </w:t>
      </w:r>
      <w:r w:rsidR="00637700" w:rsidRPr="007601D4">
        <w:tab/>
      </w:r>
      <w:r w:rsidR="00637700" w:rsidRPr="007601D4">
        <w:tab/>
      </w:r>
      <w:proofErr w:type="gramStart"/>
      <w:r w:rsidRPr="007601D4">
        <w:rPr>
          <w:rFonts w:eastAsia="Calibri" w:cs="Times New Roman"/>
          <w:sz w:val="22"/>
        </w:rPr>
        <w:t>South East</w:t>
      </w:r>
      <w:proofErr w:type="gramEnd"/>
      <w:r w:rsidRPr="007601D4">
        <w:rPr>
          <w:rFonts w:eastAsia="Calibri" w:cs="Times New Roman"/>
          <w:sz w:val="22"/>
        </w:rPr>
        <w:t xml:space="preserve"> Europe Judicial Training Institutes</w:t>
      </w:r>
    </w:p>
    <w:p w14:paraId="275A7838" w14:textId="77777777"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SEE2030       </w:t>
      </w:r>
      <w:r w:rsidR="008F4868" w:rsidRPr="007601D4">
        <w:tab/>
      </w:r>
      <w:r w:rsidR="008F4868" w:rsidRPr="007601D4">
        <w:tab/>
      </w:r>
      <w:proofErr w:type="gramStart"/>
      <w:r w:rsidRPr="007601D4">
        <w:rPr>
          <w:rFonts w:eastAsia="Calibri" w:cs="Times New Roman"/>
          <w:sz w:val="22"/>
        </w:rPr>
        <w:t>South East</w:t>
      </w:r>
      <w:proofErr w:type="gramEnd"/>
      <w:r w:rsidRPr="007601D4">
        <w:rPr>
          <w:rFonts w:eastAsia="Calibri" w:cs="Times New Roman"/>
          <w:sz w:val="22"/>
        </w:rPr>
        <w:t xml:space="preserve"> Europe 2030 Strategy  </w:t>
      </w:r>
    </w:p>
    <w:p w14:paraId="54C2CA0B" w14:textId="7938D5EB" w:rsidR="00331FB7"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SEECP</w:t>
      </w:r>
      <w:r w:rsidR="00331FB7" w:rsidRPr="007601D4">
        <w:tab/>
      </w:r>
      <w:r w:rsidR="00331FB7" w:rsidRPr="007601D4">
        <w:tab/>
      </w:r>
      <w:r w:rsidR="00331FB7" w:rsidRPr="007601D4">
        <w:tab/>
      </w:r>
      <w:r w:rsidRPr="007601D4">
        <w:rPr>
          <w:rFonts w:eastAsia="Calibri" w:cs="Times New Roman"/>
          <w:sz w:val="22"/>
        </w:rPr>
        <w:t>South</w:t>
      </w:r>
      <w:r w:rsidR="00A26867">
        <w:rPr>
          <w:rFonts w:eastAsia="Calibri" w:cs="Times New Roman"/>
          <w:sz w:val="22"/>
        </w:rPr>
        <w:t>-</w:t>
      </w:r>
      <w:r w:rsidRPr="007601D4">
        <w:rPr>
          <w:rFonts w:eastAsia="Calibri" w:cs="Times New Roman"/>
          <w:sz w:val="22"/>
        </w:rPr>
        <w:t xml:space="preserve">East European Cooperation Process  </w:t>
      </w:r>
    </w:p>
    <w:p w14:paraId="4FCDEFB2" w14:textId="14739AD3"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lastRenderedPageBreak/>
        <w:t xml:space="preserve">SEEMIC        </w:t>
      </w:r>
      <w:r w:rsidRPr="007601D4">
        <w:rPr>
          <w:rFonts w:eastAsia="Calibri" w:cs="Times New Roman"/>
          <w:sz w:val="22"/>
        </w:rPr>
        <w:tab/>
      </w:r>
      <w:r w:rsidRPr="007601D4">
        <w:rPr>
          <w:rFonts w:eastAsia="Calibri" w:cs="Times New Roman"/>
          <w:sz w:val="22"/>
        </w:rPr>
        <w:tab/>
      </w:r>
      <w:proofErr w:type="gramStart"/>
      <w:r w:rsidRPr="007601D4">
        <w:rPr>
          <w:rFonts w:eastAsia="Calibri" w:cs="Times New Roman"/>
          <w:sz w:val="22"/>
        </w:rPr>
        <w:t>S</w:t>
      </w:r>
      <w:r w:rsidR="0048231F">
        <w:rPr>
          <w:rFonts w:eastAsia="Calibri" w:cs="Times New Roman"/>
          <w:sz w:val="22"/>
        </w:rPr>
        <w:t>outh East</w:t>
      </w:r>
      <w:proofErr w:type="gramEnd"/>
      <w:r w:rsidR="0048231F">
        <w:rPr>
          <w:rFonts w:eastAsia="Calibri" w:cs="Times New Roman"/>
          <w:sz w:val="22"/>
        </w:rPr>
        <w:t xml:space="preserve"> Europe</w:t>
      </w:r>
      <w:r w:rsidRPr="007601D4">
        <w:rPr>
          <w:rFonts w:eastAsia="Calibri" w:cs="Times New Roman"/>
          <w:sz w:val="22"/>
        </w:rPr>
        <w:t xml:space="preserve"> Military Intelligence Chiefs  </w:t>
      </w:r>
    </w:p>
    <w:p w14:paraId="2A71687E" w14:textId="77777777" w:rsidR="008F4868"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SEENSA        </w:t>
      </w:r>
      <w:r w:rsidR="008F4868" w:rsidRPr="007601D4">
        <w:tab/>
      </w:r>
      <w:r w:rsidR="008F4868" w:rsidRPr="007601D4">
        <w:tab/>
      </w:r>
      <w:r w:rsidRPr="007601D4">
        <w:rPr>
          <w:rFonts w:eastAsia="Calibri" w:cs="Times New Roman"/>
          <w:sz w:val="22"/>
        </w:rPr>
        <w:t xml:space="preserve">Meeting of the Heads of </w:t>
      </w:r>
      <w:proofErr w:type="gramStart"/>
      <w:r w:rsidRPr="007601D4">
        <w:rPr>
          <w:rFonts w:eastAsia="Calibri" w:cs="Times New Roman"/>
          <w:sz w:val="22"/>
        </w:rPr>
        <w:t>South East</w:t>
      </w:r>
      <w:proofErr w:type="gramEnd"/>
      <w:r w:rsidRPr="007601D4">
        <w:rPr>
          <w:rFonts w:eastAsia="Calibri" w:cs="Times New Roman"/>
          <w:sz w:val="22"/>
        </w:rPr>
        <w:t xml:space="preserve"> Europe National Security Agencies  </w:t>
      </w:r>
    </w:p>
    <w:p w14:paraId="2B3D7E73" w14:textId="77777777" w:rsidR="00C42D82"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SEPA </w:t>
      </w:r>
      <w:r w:rsidR="00331FB7" w:rsidRPr="007601D4">
        <w:tab/>
      </w:r>
      <w:r w:rsidR="00331FB7" w:rsidRPr="007601D4">
        <w:tab/>
      </w:r>
      <w:r w:rsidR="00331FB7" w:rsidRPr="007601D4">
        <w:tab/>
      </w:r>
      <w:r w:rsidRPr="007601D4">
        <w:rPr>
          <w:rFonts w:eastAsia="Calibri" w:cs="Times New Roman"/>
          <w:sz w:val="22"/>
        </w:rPr>
        <w:t xml:space="preserve">Single Euro Payments Area    </w:t>
      </w:r>
    </w:p>
    <w:p w14:paraId="0047692E" w14:textId="77777777" w:rsidR="0031265C" w:rsidRPr="007601D4" w:rsidRDefault="00D83E28" w:rsidP="03D6C3D3">
      <w:pPr>
        <w:spacing w:line="360" w:lineRule="auto"/>
        <w:contextualSpacing/>
        <w:jc w:val="left"/>
        <w:rPr>
          <w:rFonts w:eastAsia="Calibri" w:cs="Times New Roman"/>
          <w:sz w:val="22"/>
        </w:rPr>
      </w:pPr>
      <w:r w:rsidRPr="007601D4">
        <w:rPr>
          <w:rFonts w:eastAsia="Calibri" w:cs="Times New Roman"/>
          <w:sz w:val="22"/>
        </w:rPr>
        <w:t>SEESAC</w:t>
      </w:r>
      <w:r w:rsidR="0031265C" w:rsidRPr="007601D4">
        <w:rPr>
          <w:rFonts w:eastAsia="Calibri" w:cs="Times New Roman"/>
          <w:sz w:val="22"/>
        </w:rPr>
        <w:tab/>
      </w:r>
      <w:r w:rsidR="0031265C" w:rsidRPr="007601D4">
        <w:rPr>
          <w:rFonts w:eastAsia="Calibri" w:cs="Times New Roman"/>
          <w:sz w:val="22"/>
        </w:rPr>
        <w:tab/>
      </w:r>
      <w:proofErr w:type="gramStart"/>
      <w:r w:rsidR="0031265C" w:rsidRPr="007601D4">
        <w:rPr>
          <w:rFonts w:eastAsia="Calibri" w:cs="Times New Roman"/>
          <w:sz w:val="22"/>
        </w:rPr>
        <w:t>South Eastern</w:t>
      </w:r>
      <w:proofErr w:type="gramEnd"/>
      <w:r w:rsidR="0031265C" w:rsidRPr="007601D4">
        <w:rPr>
          <w:rFonts w:eastAsia="Calibri" w:cs="Times New Roman"/>
          <w:sz w:val="22"/>
        </w:rPr>
        <w:t xml:space="preserve"> and Eastern Europe Clearinghouse for the Control of Small </w:t>
      </w:r>
    </w:p>
    <w:p w14:paraId="30CED4BD" w14:textId="5F2A9949" w:rsidR="00D83E28" w:rsidRPr="007601D4" w:rsidRDefault="0031265C" w:rsidP="0034217C">
      <w:pPr>
        <w:spacing w:line="360" w:lineRule="auto"/>
        <w:ind w:left="1440" w:firstLine="720"/>
        <w:contextualSpacing/>
        <w:jc w:val="left"/>
        <w:rPr>
          <w:rFonts w:eastAsia="Calibri" w:cs="Times New Roman"/>
          <w:sz w:val="22"/>
        </w:rPr>
      </w:pPr>
      <w:r w:rsidRPr="007601D4">
        <w:rPr>
          <w:rFonts w:eastAsia="Calibri" w:cs="Times New Roman"/>
          <w:sz w:val="22"/>
        </w:rPr>
        <w:t>Arms and Light Weapons</w:t>
      </w:r>
    </w:p>
    <w:p w14:paraId="5BC261AB" w14:textId="0BCDD110" w:rsidR="008F4868" w:rsidRPr="007601D4" w:rsidRDefault="00C42D82" w:rsidP="03D6C3D3">
      <w:pPr>
        <w:spacing w:line="360" w:lineRule="auto"/>
        <w:contextualSpacing/>
        <w:jc w:val="left"/>
        <w:rPr>
          <w:rFonts w:eastAsia="Calibri" w:cs="Times New Roman"/>
          <w:sz w:val="22"/>
        </w:rPr>
      </w:pPr>
      <w:r w:rsidRPr="007601D4">
        <w:rPr>
          <w:rFonts w:eastAsia="Calibri" w:cs="Times New Roman"/>
          <w:sz w:val="22"/>
        </w:rPr>
        <w:t>SGH</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 xml:space="preserve">Security Governance Hub </w:t>
      </w:r>
      <w:r w:rsidR="03D6C3D3" w:rsidRPr="007601D4">
        <w:rPr>
          <w:rFonts w:eastAsia="Calibri" w:cs="Times New Roman"/>
          <w:sz w:val="22"/>
        </w:rPr>
        <w:t xml:space="preserve"> </w:t>
      </w:r>
      <w:r w:rsidR="00331FB7" w:rsidRPr="007601D4">
        <w:tab/>
      </w:r>
      <w:r w:rsidR="00331FB7" w:rsidRPr="007601D4">
        <w:tab/>
      </w:r>
      <w:r w:rsidR="03D6C3D3" w:rsidRPr="007601D4">
        <w:rPr>
          <w:rFonts w:eastAsia="Calibri" w:cs="Times New Roman"/>
          <w:sz w:val="22"/>
        </w:rPr>
        <w:t xml:space="preserve"> </w:t>
      </w:r>
    </w:p>
    <w:p w14:paraId="4B29CA4B" w14:textId="77777777" w:rsidR="00E6672A" w:rsidRPr="007601D4" w:rsidRDefault="03D6C3D3" w:rsidP="03D6C3D3">
      <w:pPr>
        <w:spacing w:line="360" w:lineRule="auto"/>
        <w:contextualSpacing/>
        <w:jc w:val="left"/>
        <w:rPr>
          <w:rFonts w:eastAsia="Calibri" w:cs="Times New Roman"/>
          <w:sz w:val="22"/>
        </w:rPr>
      </w:pPr>
      <w:r w:rsidRPr="007601D4">
        <w:rPr>
          <w:rFonts w:eastAsia="Calibri" w:cs="Times New Roman"/>
          <w:sz w:val="22"/>
        </w:rPr>
        <w:t xml:space="preserve">SSN </w:t>
      </w:r>
      <w:r w:rsidR="00F77307" w:rsidRPr="007601D4">
        <w:tab/>
      </w:r>
      <w:r w:rsidR="00F77307" w:rsidRPr="007601D4">
        <w:tab/>
      </w:r>
      <w:r w:rsidR="00F77307" w:rsidRPr="007601D4">
        <w:tab/>
      </w:r>
      <w:r w:rsidRPr="007601D4">
        <w:rPr>
          <w:rFonts w:eastAsia="Calibri" w:cs="Times New Roman"/>
          <w:sz w:val="22"/>
        </w:rPr>
        <w:t>Statistical Authorities Network</w:t>
      </w:r>
    </w:p>
    <w:p w14:paraId="5B38C8D3" w14:textId="11CCCC50" w:rsidR="004B1018" w:rsidRPr="007601D4" w:rsidRDefault="004B1018" w:rsidP="03D6C3D3">
      <w:pPr>
        <w:spacing w:line="360" w:lineRule="auto"/>
        <w:contextualSpacing/>
        <w:jc w:val="left"/>
        <w:rPr>
          <w:rFonts w:eastAsia="Calibri" w:cs="Times New Roman"/>
          <w:sz w:val="22"/>
        </w:rPr>
      </w:pPr>
      <w:r w:rsidRPr="007601D4">
        <w:rPr>
          <w:rFonts w:eastAsia="Calibri" w:cs="Times New Roman"/>
          <w:sz w:val="22"/>
        </w:rPr>
        <w:t>SUP</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Single</w:t>
      </w:r>
      <w:r w:rsidR="00AC345C" w:rsidRPr="007601D4">
        <w:rPr>
          <w:rFonts w:eastAsia="Calibri" w:cs="Times New Roman"/>
          <w:sz w:val="22"/>
        </w:rPr>
        <w:t>-use plastic</w:t>
      </w:r>
      <w:r w:rsidRPr="007601D4">
        <w:rPr>
          <w:rFonts w:eastAsia="Calibri" w:cs="Times New Roman"/>
          <w:sz w:val="22"/>
        </w:rPr>
        <w:t xml:space="preserve"> </w:t>
      </w:r>
    </w:p>
    <w:p w14:paraId="188DA88F" w14:textId="7E048850" w:rsidR="000C0FB4" w:rsidRPr="007601D4" w:rsidRDefault="000C0FB4" w:rsidP="0004382C">
      <w:pPr>
        <w:spacing w:line="360" w:lineRule="auto"/>
        <w:contextualSpacing/>
        <w:jc w:val="left"/>
        <w:rPr>
          <w:rFonts w:eastAsia="Calibri" w:cs="Times New Roman"/>
          <w:sz w:val="22"/>
        </w:rPr>
      </w:pPr>
      <w:r w:rsidRPr="007601D4">
        <w:rPr>
          <w:rFonts w:cs="Times New Roman"/>
          <w:sz w:val="22"/>
        </w:rPr>
        <w:t>SWG RRD</w:t>
      </w:r>
      <w:r w:rsidRPr="007601D4">
        <w:rPr>
          <w:rFonts w:cs="Times New Roman"/>
          <w:sz w:val="22"/>
        </w:rPr>
        <w:tab/>
      </w:r>
      <w:r w:rsidRPr="007601D4">
        <w:rPr>
          <w:rFonts w:cs="Times New Roman"/>
          <w:sz w:val="22"/>
        </w:rPr>
        <w:tab/>
      </w:r>
      <w:r w:rsidRPr="007601D4">
        <w:rPr>
          <w:rFonts w:eastAsia="Times New Roman" w:cs="Times New Roman"/>
          <w:sz w:val="22"/>
        </w:rPr>
        <w:t>Standing Working Group on Regional Rural Development</w:t>
      </w:r>
    </w:p>
    <w:p w14:paraId="1D426BAD" w14:textId="77777777" w:rsidR="00F77307" w:rsidRPr="007601D4" w:rsidRDefault="03D6C3D3" w:rsidP="03D6C3D3">
      <w:pPr>
        <w:spacing w:line="360" w:lineRule="auto"/>
        <w:contextualSpacing/>
        <w:jc w:val="left"/>
        <w:rPr>
          <w:rFonts w:eastAsia="Calibri" w:cs="Times New Roman"/>
          <w:sz w:val="22"/>
        </w:rPr>
      </w:pPr>
      <w:r w:rsidRPr="007601D4">
        <w:rPr>
          <w:sz w:val="22"/>
        </w:rPr>
        <w:t xml:space="preserve">SWP </w:t>
      </w:r>
      <w:r w:rsidR="00E6672A" w:rsidRPr="007601D4">
        <w:tab/>
      </w:r>
      <w:r w:rsidR="00E6672A" w:rsidRPr="007601D4">
        <w:tab/>
      </w:r>
      <w:r w:rsidR="00E6672A" w:rsidRPr="007601D4">
        <w:tab/>
      </w:r>
      <w:r w:rsidRPr="007601D4">
        <w:rPr>
          <w:sz w:val="22"/>
        </w:rPr>
        <w:t>Strategy and Work Programme</w:t>
      </w:r>
    </w:p>
    <w:p w14:paraId="182989D1"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TEG           </w:t>
      </w:r>
      <w:r w:rsidRPr="007601D4">
        <w:rPr>
          <w:rFonts w:eastAsia="Calibri" w:cs="Times New Roman"/>
          <w:sz w:val="22"/>
        </w:rPr>
        <w:tab/>
      </w:r>
      <w:r w:rsidRPr="007601D4">
        <w:rPr>
          <w:rFonts w:eastAsia="Calibri" w:cs="Times New Roman"/>
          <w:sz w:val="22"/>
        </w:rPr>
        <w:tab/>
        <w:t xml:space="preserve">Tourism Expert Group  </w:t>
      </w:r>
    </w:p>
    <w:p w14:paraId="2EB54F0C" w14:textId="1AA21C5C" w:rsidR="001014F0" w:rsidRPr="007601D4" w:rsidRDefault="03D6C3D3" w:rsidP="03D6C3D3">
      <w:pPr>
        <w:spacing w:line="360" w:lineRule="auto"/>
        <w:contextualSpacing/>
        <w:jc w:val="left"/>
        <w:rPr>
          <w:rFonts w:eastAsia="Calibri" w:cs="Times New Roman"/>
          <w:sz w:val="22"/>
        </w:rPr>
      </w:pPr>
      <w:proofErr w:type="spellStart"/>
      <w:r w:rsidRPr="007601D4">
        <w:rPr>
          <w:rFonts w:eastAsia="Calibri" w:cs="Times New Roman"/>
          <w:sz w:val="22"/>
        </w:rPr>
        <w:t>ToR</w:t>
      </w:r>
      <w:proofErr w:type="spellEnd"/>
      <w:r w:rsidRPr="007601D4">
        <w:rPr>
          <w:rFonts w:eastAsia="Calibri" w:cs="Times New Roman"/>
          <w:sz w:val="22"/>
        </w:rPr>
        <w:t xml:space="preserve">           </w:t>
      </w:r>
      <w:r w:rsidR="008F4868" w:rsidRPr="007601D4">
        <w:tab/>
      </w:r>
      <w:r w:rsidR="008F4868" w:rsidRPr="007601D4">
        <w:tab/>
      </w:r>
      <w:r w:rsidRPr="007601D4">
        <w:rPr>
          <w:rFonts w:eastAsia="Calibri" w:cs="Times New Roman"/>
          <w:sz w:val="22"/>
        </w:rPr>
        <w:t xml:space="preserve">Terms of Reference  </w:t>
      </w:r>
    </w:p>
    <w:p w14:paraId="6A9E5FBE" w14:textId="6C0248F2" w:rsidR="00BF21AC" w:rsidRPr="007601D4" w:rsidRDefault="00794C78" w:rsidP="0004382C">
      <w:pPr>
        <w:spacing w:line="360" w:lineRule="auto"/>
        <w:contextualSpacing/>
        <w:jc w:val="left"/>
        <w:rPr>
          <w:rFonts w:eastAsia="Calibri" w:cs="Times New Roman"/>
          <w:sz w:val="22"/>
        </w:rPr>
      </w:pPr>
      <w:r w:rsidRPr="007601D4">
        <w:rPr>
          <w:rFonts w:eastAsia="Calibri" w:cs="Times New Roman"/>
          <w:sz w:val="22"/>
        </w:rPr>
        <w:t>UNECE</w:t>
      </w:r>
      <w:r w:rsidR="00BF21AC" w:rsidRPr="007601D4">
        <w:rPr>
          <w:rFonts w:eastAsia="Calibri" w:cs="Times New Roman"/>
          <w:sz w:val="22"/>
        </w:rPr>
        <w:tab/>
        <w:t xml:space="preserve"> </w:t>
      </w:r>
      <w:r w:rsidRPr="007601D4">
        <w:rPr>
          <w:rFonts w:eastAsia="Calibri" w:cs="Times New Roman"/>
          <w:sz w:val="22"/>
        </w:rPr>
        <w:tab/>
      </w:r>
      <w:r w:rsidRPr="007601D4">
        <w:rPr>
          <w:sz w:val="22"/>
        </w:rPr>
        <w:t>United Nations Economic Commission for Europe</w:t>
      </w:r>
    </w:p>
    <w:p w14:paraId="44C94065" w14:textId="77777777" w:rsidR="00CD7937"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WB            </w:t>
      </w:r>
      <w:r w:rsidRPr="007601D4">
        <w:rPr>
          <w:rFonts w:eastAsia="Calibri" w:cs="Times New Roman"/>
          <w:sz w:val="22"/>
        </w:rPr>
        <w:tab/>
      </w:r>
      <w:r w:rsidRPr="007601D4">
        <w:rPr>
          <w:rFonts w:eastAsia="Calibri" w:cs="Times New Roman"/>
          <w:sz w:val="22"/>
        </w:rPr>
        <w:tab/>
        <w:t>Western Balkans</w:t>
      </w:r>
    </w:p>
    <w:p w14:paraId="58CBFCF9" w14:textId="708BB730" w:rsidR="008F4868" w:rsidRPr="007601D4" w:rsidRDefault="00CD7937" w:rsidP="0004382C">
      <w:pPr>
        <w:spacing w:line="360" w:lineRule="auto"/>
        <w:contextualSpacing/>
        <w:jc w:val="left"/>
        <w:rPr>
          <w:rFonts w:eastAsia="Calibri" w:cs="Times New Roman"/>
          <w:sz w:val="22"/>
        </w:rPr>
      </w:pPr>
      <w:r>
        <w:rPr>
          <w:rFonts w:eastAsia="Calibri" w:cs="Times New Roman"/>
          <w:sz w:val="22"/>
        </w:rPr>
        <w:t>WB6</w:t>
      </w:r>
      <w:r>
        <w:rPr>
          <w:rFonts w:eastAsia="Calibri" w:cs="Times New Roman"/>
          <w:sz w:val="22"/>
        </w:rPr>
        <w:tab/>
      </w:r>
      <w:r>
        <w:rPr>
          <w:rFonts w:eastAsia="Calibri" w:cs="Times New Roman"/>
          <w:sz w:val="22"/>
        </w:rPr>
        <w:tab/>
      </w:r>
      <w:r>
        <w:rPr>
          <w:rFonts w:eastAsia="Calibri" w:cs="Times New Roman"/>
          <w:sz w:val="22"/>
        </w:rPr>
        <w:tab/>
        <w:t>Western Balkans Six</w:t>
      </w:r>
      <w:r w:rsidR="008F4868" w:rsidRPr="007601D4">
        <w:rPr>
          <w:rFonts w:eastAsia="Calibri" w:cs="Times New Roman"/>
          <w:sz w:val="22"/>
        </w:rPr>
        <w:t xml:space="preserve">  </w:t>
      </w:r>
    </w:p>
    <w:p w14:paraId="2BFF9AC3" w14:textId="0D78531C" w:rsidR="008F4868" w:rsidRPr="007601D4" w:rsidRDefault="03D6C3D3" w:rsidP="03D6C3D3">
      <w:pPr>
        <w:spacing w:line="360" w:lineRule="auto"/>
        <w:contextualSpacing/>
        <w:jc w:val="left"/>
        <w:rPr>
          <w:rFonts w:eastAsia="Calibri" w:cs="Times New Roman"/>
          <w:sz w:val="22"/>
        </w:rPr>
      </w:pPr>
      <w:proofErr w:type="spellStart"/>
      <w:r w:rsidRPr="007601D4">
        <w:rPr>
          <w:rFonts w:eastAsia="Calibri" w:cs="Times New Roman"/>
          <w:sz w:val="22"/>
        </w:rPr>
        <w:t>WBCSCi</w:t>
      </w:r>
      <w:proofErr w:type="spellEnd"/>
      <w:r w:rsidRPr="007601D4">
        <w:rPr>
          <w:rFonts w:eastAsia="Calibri" w:cs="Times New Roman"/>
          <w:sz w:val="22"/>
        </w:rPr>
        <w:t xml:space="preserve">        </w:t>
      </w:r>
      <w:r w:rsidR="008F4868" w:rsidRPr="007601D4">
        <w:tab/>
      </w:r>
      <w:r w:rsidR="008F4868" w:rsidRPr="007601D4">
        <w:tab/>
      </w:r>
      <w:r w:rsidRPr="007601D4">
        <w:rPr>
          <w:rFonts w:eastAsia="Calibri" w:cs="Times New Roman"/>
          <w:sz w:val="22"/>
        </w:rPr>
        <w:t xml:space="preserve">Western Balkan Counter Serious Crime initiative  </w:t>
      </w:r>
    </w:p>
    <w:p w14:paraId="07E0F9BE" w14:textId="77777777" w:rsidR="008F4868" w:rsidRPr="007601D4" w:rsidRDefault="03D6C3D3" w:rsidP="03D6C3D3">
      <w:pPr>
        <w:spacing w:line="360" w:lineRule="auto"/>
        <w:contextualSpacing/>
        <w:jc w:val="left"/>
        <w:rPr>
          <w:rFonts w:eastAsia="Calibri" w:cs="Times New Roman"/>
          <w:sz w:val="22"/>
        </w:rPr>
      </w:pPr>
      <w:proofErr w:type="spellStart"/>
      <w:r w:rsidRPr="007601D4">
        <w:rPr>
          <w:rFonts w:eastAsia="Calibri" w:cs="Times New Roman"/>
          <w:sz w:val="22"/>
        </w:rPr>
        <w:t>WBCTi</w:t>
      </w:r>
      <w:proofErr w:type="spellEnd"/>
      <w:r w:rsidRPr="007601D4">
        <w:rPr>
          <w:rFonts w:eastAsia="Calibri" w:cs="Times New Roman"/>
          <w:sz w:val="22"/>
        </w:rPr>
        <w:t xml:space="preserve">         </w:t>
      </w:r>
      <w:r w:rsidR="008F4868" w:rsidRPr="007601D4">
        <w:tab/>
      </w:r>
      <w:r w:rsidR="008F4868" w:rsidRPr="007601D4">
        <w:tab/>
      </w:r>
      <w:r w:rsidRPr="007601D4">
        <w:rPr>
          <w:rFonts w:eastAsia="Calibri" w:cs="Times New Roman"/>
          <w:sz w:val="22"/>
        </w:rPr>
        <w:t xml:space="preserve">Western Balkan Counter Terrorism initiative  </w:t>
      </w:r>
    </w:p>
    <w:p w14:paraId="1CE58AFD" w14:textId="32074D45" w:rsidR="00C90812" w:rsidRPr="007601D4" w:rsidRDefault="00C90812" w:rsidP="03D6C3D3">
      <w:pPr>
        <w:spacing w:line="360" w:lineRule="auto"/>
        <w:contextualSpacing/>
        <w:jc w:val="left"/>
        <w:rPr>
          <w:rFonts w:eastAsia="Calibri" w:cs="Times New Roman"/>
          <w:sz w:val="22"/>
        </w:rPr>
      </w:pPr>
      <w:r w:rsidRPr="007601D4">
        <w:rPr>
          <w:rFonts w:eastAsia="Calibri" w:cs="Times New Roman"/>
          <w:sz w:val="22"/>
        </w:rPr>
        <w:t>WBDESI</w:t>
      </w:r>
      <w:r w:rsidRPr="007601D4">
        <w:rPr>
          <w:rFonts w:eastAsia="Calibri" w:cs="Times New Roman"/>
          <w:sz w:val="22"/>
        </w:rPr>
        <w:tab/>
      </w:r>
      <w:r w:rsidRPr="007601D4">
        <w:rPr>
          <w:rFonts w:eastAsia="Calibri" w:cs="Times New Roman"/>
          <w:sz w:val="22"/>
        </w:rPr>
        <w:tab/>
      </w:r>
      <w:r w:rsidR="003131C2" w:rsidRPr="007601D4">
        <w:rPr>
          <w:rFonts w:eastAsia="Calibri" w:cs="Times New Roman"/>
          <w:sz w:val="22"/>
        </w:rPr>
        <w:t xml:space="preserve">Western Balkans Digital Economy and Society </w:t>
      </w:r>
      <w:r w:rsidR="002C51A7">
        <w:rPr>
          <w:rFonts w:eastAsia="Calibri" w:cs="Times New Roman"/>
          <w:sz w:val="22"/>
        </w:rPr>
        <w:t>I</w:t>
      </w:r>
      <w:r w:rsidR="003131C2" w:rsidRPr="007601D4">
        <w:rPr>
          <w:rFonts w:eastAsia="Calibri" w:cs="Times New Roman"/>
          <w:sz w:val="22"/>
        </w:rPr>
        <w:t>ndex</w:t>
      </w:r>
    </w:p>
    <w:p w14:paraId="5CD9ABC3"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WBDS          </w:t>
      </w:r>
      <w:r w:rsidRPr="007601D4">
        <w:rPr>
          <w:rFonts w:eastAsia="Calibri" w:cs="Times New Roman"/>
          <w:sz w:val="22"/>
        </w:rPr>
        <w:tab/>
      </w:r>
      <w:r w:rsidRPr="007601D4">
        <w:rPr>
          <w:rFonts w:eastAsia="Calibri" w:cs="Times New Roman"/>
          <w:sz w:val="22"/>
        </w:rPr>
        <w:tab/>
        <w:t xml:space="preserve">Western Balkans Digital Summit  </w:t>
      </w:r>
    </w:p>
    <w:p w14:paraId="259F4B75" w14:textId="77777777" w:rsidR="008F4868"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WBYL          </w:t>
      </w:r>
      <w:r w:rsidRPr="007601D4">
        <w:rPr>
          <w:rFonts w:eastAsia="Calibri" w:cs="Times New Roman"/>
          <w:sz w:val="22"/>
        </w:rPr>
        <w:tab/>
      </w:r>
      <w:r w:rsidRPr="007601D4">
        <w:rPr>
          <w:rFonts w:eastAsia="Calibri" w:cs="Times New Roman"/>
          <w:sz w:val="22"/>
        </w:rPr>
        <w:tab/>
        <w:t xml:space="preserve">Western Balkans Youth Lab Project  </w:t>
      </w:r>
    </w:p>
    <w:p w14:paraId="6B1E8564" w14:textId="77777777" w:rsidR="00B86566" w:rsidRPr="007601D4" w:rsidRDefault="008F4868" w:rsidP="0004382C">
      <w:pPr>
        <w:spacing w:line="360" w:lineRule="auto"/>
        <w:contextualSpacing/>
        <w:jc w:val="left"/>
        <w:rPr>
          <w:rFonts w:eastAsia="Calibri" w:cs="Times New Roman"/>
          <w:sz w:val="22"/>
        </w:rPr>
      </w:pPr>
      <w:r w:rsidRPr="007601D4">
        <w:rPr>
          <w:rFonts w:eastAsia="Calibri" w:cs="Times New Roman"/>
          <w:sz w:val="22"/>
        </w:rPr>
        <w:t xml:space="preserve">WGFM          </w:t>
      </w:r>
      <w:r w:rsidRPr="007601D4">
        <w:rPr>
          <w:rFonts w:eastAsia="Calibri" w:cs="Times New Roman"/>
          <w:sz w:val="22"/>
        </w:rPr>
        <w:tab/>
      </w:r>
      <w:r w:rsidRPr="007601D4">
        <w:rPr>
          <w:rFonts w:eastAsia="Calibri" w:cs="Times New Roman"/>
          <w:sz w:val="22"/>
        </w:rPr>
        <w:tab/>
        <w:t>Working Group on Financial Markets</w:t>
      </w:r>
    </w:p>
    <w:p w14:paraId="0CF04EE2" w14:textId="77777777" w:rsidR="008F4868" w:rsidRPr="007601D4" w:rsidRDefault="00B86566" w:rsidP="0004382C">
      <w:pPr>
        <w:spacing w:line="360" w:lineRule="auto"/>
        <w:contextualSpacing/>
        <w:jc w:val="left"/>
        <w:rPr>
          <w:rFonts w:eastAsia="Calibri" w:cs="Times New Roman"/>
          <w:sz w:val="22"/>
        </w:rPr>
      </w:pPr>
      <w:r w:rsidRPr="007601D4">
        <w:rPr>
          <w:rFonts w:eastAsia="Calibri" w:cs="Times New Roman"/>
          <w:sz w:val="22"/>
        </w:rPr>
        <w:t xml:space="preserve">WGID </w:t>
      </w:r>
      <w:r w:rsidRPr="007601D4">
        <w:rPr>
          <w:rFonts w:eastAsia="Calibri" w:cs="Times New Roman"/>
          <w:sz w:val="22"/>
        </w:rPr>
        <w:tab/>
      </w:r>
      <w:r w:rsidRPr="007601D4">
        <w:rPr>
          <w:rFonts w:eastAsia="Calibri" w:cs="Times New Roman"/>
          <w:sz w:val="22"/>
        </w:rPr>
        <w:tab/>
      </w:r>
      <w:r w:rsidRPr="007601D4">
        <w:rPr>
          <w:rFonts w:eastAsia="Calibri" w:cs="Times New Roman"/>
          <w:sz w:val="22"/>
        </w:rPr>
        <w:tab/>
        <w:t>Working Group on Industrial Development</w:t>
      </w:r>
    </w:p>
    <w:p w14:paraId="7A0EE9D2" w14:textId="77777777" w:rsidR="00C72ECE" w:rsidRPr="007601D4" w:rsidRDefault="00C72ECE" w:rsidP="0004382C">
      <w:pPr>
        <w:spacing w:line="360" w:lineRule="auto"/>
        <w:rPr>
          <w:rFonts w:eastAsia="Calibri" w:cs="Times New Roman"/>
          <w:bCs/>
          <w:color w:val="000000"/>
          <w:sz w:val="22"/>
        </w:rPr>
      </w:pPr>
    </w:p>
    <w:sectPr w:rsidR="00C72ECE" w:rsidRPr="007601D4" w:rsidSect="00A50B55">
      <w:headerReference w:type="default" r:id="rId123"/>
      <w:footerReference w:type="default" r:id="rId124"/>
      <w:pgSz w:w="11906" w:h="16838"/>
      <w:pgMar w:top="1276" w:right="1440" w:bottom="1702" w:left="1440" w:header="708" w:footer="4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4348" w14:textId="77777777" w:rsidR="003852A3" w:rsidRDefault="003852A3" w:rsidP="00AE01EE">
      <w:pPr>
        <w:spacing w:after="0"/>
      </w:pPr>
      <w:r>
        <w:separator/>
      </w:r>
    </w:p>
  </w:endnote>
  <w:endnote w:type="continuationSeparator" w:id="0">
    <w:p w14:paraId="74EE53A3" w14:textId="77777777" w:rsidR="003852A3" w:rsidRDefault="003852A3" w:rsidP="00AE01EE">
      <w:pPr>
        <w:spacing w:after="0"/>
      </w:pPr>
      <w:r>
        <w:continuationSeparator/>
      </w:r>
    </w:p>
  </w:endnote>
  <w:endnote w:type="continuationNotice" w:id="1">
    <w:p w14:paraId="348BE728" w14:textId="77777777" w:rsidR="003852A3" w:rsidRDefault="003852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C5F1" w14:textId="77777777" w:rsidR="007049A6" w:rsidRDefault="007049A6" w:rsidP="00CD0284">
    <w:pPr>
      <w:pStyle w:val="Footer"/>
    </w:pPr>
  </w:p>
  <w:p w14:paraId="65BD78BA" w14:textId="77777777" w:rsidR="007049A6" w:rsidRDefault="007049A6" w:rsidP="00CD0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87124"/>
      <w:docPartObj>
        <w:docPartGallery w:val="Page Numbers (Bottom of Page)"/>
        <w:docPartUnique/>
      </w:docPartObj>
    </w:sdtPr>
    <w:sdtEndPr>
      <w:rPr>
        <w:noProof/>
      </w:rPr>
    </w:sdtEndPr>
    <w:sdtContent>
      <w:p w14:paraId="783E4F91" w14:textId="7F54A2FA" w:rsidR="007049A6" w:rsidRDefault="007049A6">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14:paraId="097F5E26" w14:textId="77777777" w:rsidR="007049A6" w:rsidRDefault="007049A6" w:rsidP="00CD0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27DC" w14:textId="77777777" w:rsidR="003852A3" w:rsidRDefault="003852A3" w:rsidP="00AE01EE">
      <w:pPr>
        <w:spacing w:after="0"/>
      </w:pPr>
      <w:r>
        <w:separator/>
      </w:r>
    </w:p>
  </w:footnote>
  <w:footnote w:type="continuationSeparator" w:id="0">
    <w:p w14:paraId="58CD1845" w14:textId="77777777" w:rsidR="003852A3" w:rsidRDefault="003852A3" w:rsidP="00AE01EE">
      <w:pPr>
        <w:spacing w:after="0"/>
      </w:pPr>
      <w:r>
        <w:continuationSeparator/>
      </w:r>
    </w:p>
  </w:footnote>
  <w:footnote w:type="continuationNotice" w:id="1">
    <w:p w14:paraId="7019F6D6" w14:textId="77777777" w:rsidR="003852A3" w:rsidRDefault="003852A3">
      <w:pPr>
        <w:spacing w:before="0" w:after="0"/>
      </w:pPr>
    </w:p>
  </w:footnote>
  <w:footnote w:id="2">
    <w:p w14:paraId="3F4493E5" w14:textId="046E66C9" w:rsidR="007049A6" w:rsidRDefault="007049A6">
      <w:pPr>
        <w:pStyle w:val="FootnoteText"/>
      </w:pPr>
      <w:r>
        <w:rPr>
          <w:rStyle w:val="FootnoteReference"/>
        </w:rPr>
        <w:footnoteRef/>
      </w:r>
      <w:r>
        <w:t xml:space="preserve"> </w:t>
      </w:r>
      <w:r w:rsidRPr="0012523E">
        <w:t xml:space="preserve">Such as NextHub Programme, </w:t>
      </w:r>
      <w:hyperlink r:id="rId1" w:history="1">
        <w:r w:rsidRPr="0012523E">
          <w:rPr>
            <w:rStyle w:val="Hyperlink"/>
          </w:rPr>
          <w:t>Smart Specialisation Ecosystems Initiative</w:t>
        </w:r>
      </w:hyperlink>
      <w:r w:rsidRPr="0012523E">
        <w:t xml:space="preserve"> and </w:t>
      </w:r>
      <w:hyperlink r:id="rId2" w:history="1">
        <w:r w:rsidRPr="0012523E">
          <w:rPr>
            <w:rStyle w:val="Hyperlink"/>
          </w:rPr>
          <w:t>Knowledge Transfer Toolkit</w:t>
        </w:r>
      </w:hyperlink>
    </w:p>
  </w:footnote>
  <w:footnote w:id="3">
    <w:p w14:paraId="71096C5F" w14:textId="4B7095DC" w:rsidR="007049A6" w:rsidRDefault="007049A6">
      <w:pPr>
        <w:pStyle w:val="FootnoteText"/>
      </w:pPr>
      <w:r>
        <w:rPr>
          <w:rStyle w:val="FootnoteReference"/>
        </w:rPr>
        <w:footnoteRef/>
      </w:r>
      <w:r>
        <w:t xml:space="preserve"> </w:t>
      </w:r>
      <w:hyperlink r:id="rId3" w:history="1">
        <w:r w:rsidRPr="0077006D">
          <w:rPr>
            <w:rStyle w:val="Hyperlink"/>
            <w:rFonts w:eastAsia="Times New Roman" w:cs="Times New Roman"/>
            <w:b/>
            <w:bCs/>
            <w:szCs w:val="24"/>
          </w:rPr>
          <w:t>Joint Statement on Digitally Connected Western Balkans Six</w:t>
        </w:r>
      </w:hyperlink>
    </w:p>
  </w:footnote>
  <w:footnote w:id="4">
    <w:p w14:paraId="4037797A" w14:textId="20940407" w:rsidR="007049A6" w:rsidRDefault="007049A6">
      <w:pPr>
        <w:pStyle w:val="FootnoteText"/>
      </w:pPr>
      <w:r>
        <w:rPr>
          <w:rStyle w:val="FootnoteReference"/>
        </w:rPr>
        <w:footnoteRef/>
      </w:r>
      <w:r>
        <w:t xml:space="preserve"> </w:t>
      </w:r>
      <w:hyperlink r:id="rId4" w:history="1">
        <w:r w:rsidRPr="00410100">
          <w:rPr>
            <w:rStyle w:val="Hyperlink"/>
            <w:rFonts w:eastAsia="Times New Roman" w:cs="Times New Roman"/>
            <w:b/>
            <w:bCs/>
            <w:szCs w:val="24"/>
          </w:rPr>
          <w:t>Joint Statement on Achieving Western Balkans Six Interoperable Digital ID Wallets and Trust Services</w:t>
        </w:r>
      </w:hyperlink>
    </w:p>
  </w:footnote>
  <w:footnote w:id="5">
    <w:p w14:paraId="2EAA6DF5" w14:textId="77777777" w:rsidR="007049A6" w:rsidRDefault="007049A6" w:rsidP="002E31F1">
      <w:pPr>
        <w:pStyle w:val="FootnoteText"/>
        <w:spacing w:before="0"/>
        <w:rPr>
          <w:rFonts w:eastAsia="Times New Roman" w:cs="Times New Roman"/>
          <w:sz w:val="18"/>
          <w:szCs w:val="18"/>
        </w:rPr>
      </w:pPr>
      <w:r w:rsidRPr="2ED019D3">
        <w:rPr>
          <w:rStyle w:val="FootnoteReference"/>
        </w:rPr>
        <w:footnoteRef/>
      </w:r>
      <w:r>
        <w:t xml:space="preserve"> </w:t>
      </w:r>
      <w:r w:rsidRPr="2ED019D3">
        <w:rPr>
          <w:rFonts w:eastAsia="Times New Roman" w:cs="Times New Roman"/>
          <w:sz w:val="18"/>
          <w:szCs w:val="18"/>
        </w:rPr>
        <w:t>Serbia leads at 51.5% of the EU average, followed by Montenegro (45.3%), North Macedonia (40.0%), Albania (37.9%), and Bosnia and Herzegovina (25.7%). Serbia ranks 4th among Emerging Innovators, driven by SME innovation, ICT uptake, and employment in innovative enterprises. Montenegro and North Macedonia show steady gains in business R&amp;D and doctoral-level human capital, while Albania and Bosnia and Herzegovina, now part of the EIT Regional Innovation Scheme, are gradually integrating into broader European innovation ecosystems.</w:t>
      </w:r>
    </w:p>
  </w:footnote>
  <w:footnote w:id="6">
    <w:p w14:paraId="7EAF7528" w14:textId="544E3C8E" w:rsidR="007049A6" w:rsidRDefault="007049A6">
      <w:pPr>
        <w:pStyle w:val="FootnoteText"/>
      </w:pPr>
      <w:r w:rsidRPr="002808E2">
        <w:rPr>
          <w:rStyle w:val="FootnoteReference"/>
          <w:rFonts w:ascii="Symbol" w:eastAsia="Symbol" w:hAnsi="Symbol" w:cs="Symbol"/>
        </w:rPr>
        <w:t></w:t>
      </w:r>
      <w:r>
        <w:t xml:space="preserve"> </w:t>
      </w:r>
      <w:r w:rsidRPr="00080B7C">
        <w:rPr>
          <w:sz w:val="18"/>
          <w:szCs w:val="18"/>
        </w:rPr>
        <w:t>This designation is without prejudice to positions on status and is in line with UNSCR 1244/1999 and the ICJ Opinion on the Kosovo declaration of independence</w:t>
      </w:r>
    </w:p>
  </w:footnote>
  <w:footnote w:id="7">
    <w:p w14:paraId="1B3F4C33" w14:textId="77777777" w:rsidR="007049A6" w:rsidRPr="00B27899" w:rsidRDefault="007049A6" w:rsidP="00B27899">
      <w:pPr>
        <w:pStyle w:val="FootnoteText"/>
        <w:spacing w:before="0"/>
        <w:jc w:val="left"/>
        <w:rPr>
          <w:rFonts w:cs="Times New Roman"/>
          <w:sz w:val="18"/>
          <w:szCs w:val="18"/>
        </w:rPr>
      </w:pPr>
      <w:r w:rsidRPr="00B27899">
        <w:rPr>
          <w:rStyle w:val="FootnoteReference"/>
          <w:rFonts w:cs="Times New Roman"/>
          <w:szCs w:val="18"/>
        </w:rPr>
        <w:footnoteRef/>
      </w:r>
      <w:r w:rsidRPr="00B27899">
        <w:rPr>
          <w:rFonts w:cs="Times New Roman"/>
          <w:sz w:val="18"/>
          <w:szCs w:val="18"/>
        </w:rPr>
        <w:t xml:space="preserve"> </w:t>
      </w:r>
      <w:r w:rsidRPr="00B27899">
        <w:rPr>
          <w:rFonts w:cs="Times New Roman"/>
          <w:sz w:val="18"/>
          <w:szCs w:val="18"/>
          <w:lang w:val="en-US"/>
        </w:rPr>
        <w:t>This project is funded by the European Union, grant number IPA 2020/414-918</w:t>
      </w:r>
    </w:p>
  </w:footnote>
  <w:footnote w:id="8">
    <w:p w14:paraId="4A6A0AD2" w14:textId="026B690B" w:rsidR="007049A6" w:rsidRDefault="007049A6">
      <w:pPr>
        <w:pStyle w:val="FootnoteText"/>
      </w:pPr>
      <w:r>
        <w:rPr>
          <w:rStyle w:val="FootnoteReference"/>
        </w:rPr>
        <w:footnoteRef/>
      </w:r>
      <w:r>
        <w:t xml:space="preserve"> </w:t>
      </w:r>
      <w:r>
        <w:rPr>
          <w:rFonts w:eastAsia="Times New Roman" w:cs="Times New Roman"/>
          <w:szCs w:val="24"/>
        </w:rPr>
        <w:t>A</w:t>
      </w:r>
      <w:r w:rsidRPr="00881406">
        <w:rPr>
          <w:rFonts w:eastAsia="Times New Roman" w:cs="Times New Roman"/>
          <w:szCs w:val="24"/>
        </w:rPr>
        <w:t>ctive participation from over 74 representatives from the WB6 and 54 representatives from EU M</w:t>
      </w:r>
      <w:r>
        <w:rPr>
          <w:rFonts w:eastAsia="Times New Roman" w:cs="Times New Roman"/>
          <w:szCs w:val="24"/>
        </w:rPr>
        <w:t>S</w:t>
      </w:r>
    </w:p>
  </w:footnote>
  <w:footnote w:id="9">
    <w:p w14:paraId="7E1DCB13" w14:textId="1859A03B" w:rsidR="007049A6" w:rsidRDefault="007049A6">
      <w:pPr>
        <w:pStyle w:val="FootnoteText"/>
      </w:pPr>
      <w:r>
        <w:rPr>
          <w:rStyle w:val="FootnoteReference"/>
        </w:rPr>
        <w:footnoteRef/>
      </w:r>
      <w:r>
        <w:t xml:space="preserve"> </w:t>
      </w:r>
      <w:r>
        <w:rPr>
          <w:rFonts w:eastAsia="Times New Roman" w:cs="Times New Roman"/>
          <w:szCs w:val="24"/>
        </w:rPr>
        <w:t>U</w:t>
      </w:r>
      <w:r w:rsidRPr="00881406">
        <w:rPr>
          <w:rFonts w:eastAsia="Times New Roman" w:cs="Times New Roman"/>
          <w:szCs w:val="24"/>
        </w:rPr>
        <w:t>sage of IISG databases expanded to 248 users across 43 stakeholders</w:t>
      </w:r>
    </w:p>
  </w:footnote>
  <w:footnote w:id="10">
    <w:p w14:paraId="5D4DC481" w14:textId="0B450066" w:rsidR="007049A6" w:rsidRDefault="007049A6">
      <w:pPr>
        <w:pStyle w:val="FootnoteText"/>
      </w:pPr>
      <w:r>
        <w:rPr>
          <w:rStyle w:val="FootnoteReference"/>
        </w:rPr>
        <w:footnoteRef/>
      </w:r>
      <w:r>
        <w:t xml:space="preserve"> CIVIPOL is</w:t>
      </w:r>
      <w:r w:rsidRPr="00C2323A">
        <w:t xml:space="preserve"> the international technical cooperation operator of the French Ministry of Interior </w:t>
      </w:r>
    </w:p>
  </w:footnote>
  <w:footnote w:id="11">
    <w:p w14:paraId="1876AC98" w14:textId="4208DA3F" w:rsidR="007049A6" w:rsidRDefault="007049A6">
      <w:pPr>
        <w:pStyle w:val="FootnoteText"/>
      </w:pPr>
      <w:r>
        <w:rPr>
          <w:rStyle w:val="FootnoteReference"/>
        </w:rPr>
        <w:footnoteRef/>
      </w:r>
      <w:r>
        <w:t xml:space="preserve"> </w:t>
      </w:r>
      <w:r w:rsidRPr="007F320F">
        <w:t>Revised Terms of Reference were developed to support the transformation of IISG into a Security Governance Hub. This transition foresees enhanced analytical capacity, formalisation of the Cybersecurity Pillar, strengthened monitoring of the Counter-Terrorism/Preventing and Countering Violent Extremism (CT/P-CVE) Joint Action Plan, and a more operational role for the RCC in regional security coordination.</w:t>
      </w:r>
    </w:p>
  </w:footnote>
  <w:footnote w:id="12">
    <w:p w14:paraId="21B94240" w14:textId="46794F1B" w:rsidR="007049A6" w:rsidRDefault="007049A6">
      <w:pPr>
        <w:pStyle w:val="FootnoteText"/>
      </w:pPr>
      <w:r>
        <w:rPr>
          <w:rStyle w:val="FootnoteReference"/>
        </w:rPr>
        <w:footnoteRef/>
      </w:r>
      <w:r>
        <w:t xml:space="preserve"> </w:t>
      </w:r>
      <w:r w:rsidRPr="00022409">
        <w:t>The IISG Secretariat held bilateral consultations with all WB6 partners, ensuring systematic input into needs and response mapping. It also delivered 12 targeted training sessions, strengthening stakeholders’ ability to use IISG databases effectively.</w:t>
      </w:r>
    </w:p>
  </w:footnote>
  <w:footnote w:id="13">
    <w:p w14:paraId="63876065" w14:textId="77777777" w:rsidR="007049A6" w:rsidRPr="00807EE0" w:rsidRDefault="007049A6" w:rsidP="00C836A5">
      <w:pPr>
        <w:pStyle w:val="NormalWeb"/>
        <w:jc w:val="both"/>
        <w:rPr>
          <w:sz w:val="18"/>
          <w:szCs w:val="18"/>
        </w:rPr>
      </w:pPr>
      <w:r w:rsidRPr="00807EE0">
        <w:rPr>
          <w:rStyle w:val="FootnoteReference"/>
          <w:szCs w:val="18"/>
        </w:rPr>
        <w:footnoteRef/>
      </w:r>
      <w:r w:rsidRPr="00807EE0">
        <w:rPr>
          <w:sz w:val="18"/>
          <w:szCs w:val="18"/>
        </w:rPr>
        <w:t xml:space="preserve"> Comprehensive information on ESAP 3 activities, outputs, and analytical products is available on the project’s dedicated webpage (</w:t>
      </w:r>
      <w:hyperlink r:id="rId5" w:tgtFrame="_new" w:history="1">
        <w:r w:rsidRPr="00807EE0">
          <w:rPr>
            <w:rStyle w:val="Hyperlink"/>
            <w:sz w:val="18"/>
            <w:szCs w:val="18"/>
          </w:rPr>
          <w:t>www.esap.online</w:t>
        </w:r>
      </w:hyperlink>
      <w:r w:rsidRPr="00807EE0">
        <w:rPr>
          <w:sz w:val="18"/>
          <w:szCs w:val="18"/>
        </w:rPr>
        <w:t>), which provides regular updates on regional cooperation and developments in employment and social affairs.</w:t>
      </w:r>
    </w:p>
    <w:p w14:paraId="5B89F52E" w14:textId="77777777" w:rsidR="007049A6" w:rsidRPr="00807EE0" w:rsidRDefault="007049A6" w:rsidP="00C836A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049A6" w14:paraId="5935B118" w14:textId="77777777" w:rsidTr="2E7EC2F3">
      <w:trPr>
        <w:trHeight w:val="300"/>
      </w:trPr>
      <w:tc>
        <w:tcPr>
          <w:tcW w:w="3005" w:type="dxa"/>
        </w:tcPr>
        <w:p w14:paraId="6E0D9FBA" w14:textId="77777777" w:rsidR="007049A6" w:rsidRDefault="007049A6" w:rsidP="2E7EC2F3">
          <w:pPr>
            <w:pStyle w:val="Header"/>
            <w:ind w:left="-115"/>
            <w:jc w:val="left"/>
          </w:pPr>
        </w:p>
      </w:tc>
      <w:tc>
        <w:tcPr>
          <w:tcW w:w="3005" w:type="dxa"/>
        </w:tcPr>
        <w:p w14:paraId="1BB598A9" w14:textId="77777777" w:rsidR="007049A6" w:rsidRDefault="007049A6" w:rsidP="2E7EC2F3">
          <w:pPr>
            <w:pStyle w:val="Header"/>
            <w:jc w:val="center"/>
          </w:pPr>
        </w:p>
      </w:tc>
      <w:tc>
        <w:tcPr>
          <w:tcW w:w="3005" w:type="dxa"/>
        </w:tcPr>
        <w:p w14:paraId="20AE4910" w14:textId="77777777" w:rsidR="007049A6" w:rsidRDefault="007049A6" w:rsidP="2E7EC2F3">
          <w:pPr>
            <w:pStyle w:val="Header"/>
            <w:ind w:right="-115"/>
            <w:jc w:val="right"/>
          </w:pPr>
        </w:p>
      </w:tc>
    </w:tr>
  </w:tbl>
  <w:p w14:paraId="7BD7CE17" w14:textId="77777777" w:rsidR="007049A6" w:rsidRDefault="007049A6" w:rsidP="2E7EC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049A6" w14:paraId="3A780A23" w14:textId="77777777" w:rsidTr="2E7EC2F3">
      <w:trPr>
        <w:trHeight w:val="300"/>
      </w:trPr>
      <w:tc>
        <w:tcPr>
          <w:tcW w:w="3005" w:type="dxa"/>
        </w:tcPr>
        <w:p w14:paraId="5476043D" w14:textId="77777777" w:rsidR="007049A6" w:rsidRDefault="007049A6" w:rsidP="2E7EC2F3">
          <w:pPr>
            <w:pStyle w:val="Header"/>
            <w:ind w:left="-115"/>
            <w:jc w:val="left"/>
          </w:pPr>
        </w:p>
      </w:tc>
      <w:tc>
        <w:tcPr>
          <w:tcW w:w="3005" w:type="dxa"/>
        </w:tcPr>
        <w:p w14:paraId="4E8D8B2D" w14:textId="77777777" w:rsidR="007049A6" w:rsidRDefault="007049A6" w:rsidP="2E7EC2F3">
          <w:pPr>
            <w:pStyle w:val="Header"/>
            <w:jc w:val="center"/>
          </w:pPr>
        </w:p>
      </w:tc>
      <w:tc>
        <w:tcPr>
          <w:tcW w:w="3005" w:type="dxa"/>
        </w:tcPr>
        <w:p w14:paraId="27211038" w14:textId="77777777" w:rsidR="007049A6" w:rsidRDefault="007049A6" w:rsidP="2E7EC2F3">
          <w:pPr>
            <w:pStyle w:val="Header"/>
            <w:ind w:right="-115"/>
            <w:jc w:val="right"/>
          </w:pPr>
        </w:p>
      </w:tc>
    </w:tr>
  </w:tbl>
  <w:p w14:paraId="2A29B9BB" w14:textId="77777777" w:rsidR="007049A6" w:rsidRDefault="007049A6" w:rsidP="2E7EC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F39"/>
    <w:multiLevelType w:val="hybridMultilevel"/>
    <w:tmpl w:val="BB6A5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02360"/>
    <w:multiLevelType w:val="hybridMultilevel"/>
    <w:tmpl w:val="B7500F4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CBE10E6"/>
    <w:multiLevelType w:val="multilevel"/>
    <w:tmpl w:val="18C48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27DBA"/>
    <w:multiLevelType w:val="hybridMultilevel"/>
    <w:tmpl w:val="3A286D20"/>
    <w:lvl w:ilvl="0" w:tplc="5560C8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916D9C"/>
    <w:multiLevelType w:val="hybridMultilevel"/>
    <w:tmpl w:val="9F564F26"/>
    <w:lvl w:ilvl="0" w:tplc="F1028C38">
      <w:start w:val="1"/>
      <w:numFmt w:val="bullet"/>
      <w:lvlText w:val="-"/>
      <w:lvlJc w:val="left"/>
      <w:pPr>
        <w:ind w:left="720" w:hanging="360"/>
      </w:pPr>
      <w:rPr>
        <w:rFonts w:ascii="Times New Roman" w:eastAsia="Times New Roman" w:hAnsi="Times New Roman" w:cs="Times New Roman" w:hint="default"/>
      </w:rPr>
    </w:lvl>
    <w:lvl w:ilvl="1" w:tplc="B74A3016" w:tentative="1">
      <w:start w:val="1"/>
      <w:numFmt w:val="bullet"/>
      <w:lvlText w:val="o"/>
      <w:lvlJc w:val="left"/>
      <w:pPr>
        <w:ind w:left="1440" w:hanging="360"/>
      </w:pPr>
      <w:rPr>
        <w:rFonts w:ascii="Courier New" w:hAnsi="Courier New" w:cs="Courier New" w:hint="default"/>
      </w:rPr>
    </w:lvl>
    <w:lvl w:ilvl="2" w:tplc="193686CA" w:tentative="1">
      <w:start w:val="1"/>
      <w:numFmt w:val="bullet"/>
      <w:lvlText w:val=""/>
      <w:lvlJc w:val="left"/>
      <w:pPr>
        <w:ind w:left="2160" w:hanging="360"/>
      </w:pPr>
      <w:rPr>
        <w:rFonts w:ascii="Wingdings" w:hAnsi="Wingdings" w:hint="default"/>
      </w:rPr>
    </w:lvl>
    <w:lvl w:ilvl="3" w:tplc="9C005482" w:tentative="1">
      <w:start w:val="1"/>
      <w:numFmt w:val="bullet"/>
      <w:lvlText w:val=""/>
      <w:lvlJc w:val="left"/>
      <w:pPr>
        <w:ind w:left="2880" w:hanging="360"/>
      </w:pPr>
      <w:rPr>
        <w:rFonts w:ascii="Symbol" w:hAnsi="Symbol" w:hint="default"/>
      </w:rPr>
    </w:lvl>
    <w:lvl w:ilvl="4" w:tplc="7A5C87F4" w:tentative="1">
      <w:start w:val="1"/>
      <w:numFmt w:val="bullet"/>
      <w:lvlText w:val="o"/>
      <w:lvlJc w:val="left"/>
      <w:pPr>
        <w:ind w:left="3600" w:hanging="360"/>
      </w:pPr>
      <w:rPr>
        <w:rFonts w:ascii="Courier New" w:hAnsi="Courier New" w:cs="Courier New" w:hint="default"/>
      </w:rPr>
    </w:lvl>
    <w:lvl w:ilvl="5" w:tplc="0ACEC5E0" w:tentative="1">
      <w:start w:val="1"/>
      <w:numFmt w:val="bullet"/>
      <w:lvlText w:val=""/>
      <w:lvlJc w:val="left"/>
      <w:pPr>
        <w:ind w:left="4320" w:hanging="360"/>
      </w:pPr>
      <w:rPr>
        <w:rFonts w:ascii="Wingdings" w:hAnsi="Wingdings" w:hint="default"/>
      </w:rPr>
    </w:lvl>
    <w:lvl w:ilvl="6" w:tplc="D3C00B50" w:tentative="1">
      <w:start w:val="1"/>
      <w:numFmt w:val="bullet"/>
      <w:lvlText w:val=""/>
      <w:lvlJc w:val="left"/>
      <w:pPr>
        <w:ind w:left="5040" w:hanging="360"/>
      </w:pPr>
      <w:rPr>
        <w:rFonts w:ascii="Symbol" w:hAnsi="Symbol" w:hint="default"/>
      </w:rPr>
    </w:lvl>
    <w:lvl w:ilvl="7" w:tplc="5B0A00F4" w:tentative="1">
      <w:start w:val="1"/>
      <w:numFmt w:val="bullet"/>
      <w:lvlText w:val="o"/>
      <w:lvlJc w:val="left"/>
      <w:pPr>
        <w:ind w:left="5760" w:hanging="360"/>
      </w:pPr>
      <w:rPr>
        <w:rFonts w:ascii="Courier New" w:hAnsi="Courier New" w:cs="Courier New" w:hint="default"/>
      </w:rPr>
    </w:lvl>
    <w:lvl w:ilvl="8" w:tplc="E1A4DFBA" w:tentative="1">
      <w:start w:val="1"/>
      <w:numFmt w:val="bullet"/>
      <w:lvlText w:val=""/>
      <w:lvlJc w:val="left"/>
      <w:pPr>
        <w:ind w:left="6480" w:hanging="360"/>
      </w:pPr>
      <w:rPr>
        <w:rFonts w:ascii="Wingdings" w:hAnsi="Wingdings" w:hint="default"/>
      </w:rPr>
    </w:lvl>
  </w:abstractNum>
  <w:abstractNum w:abstractNumId="5" w15:restartNumberingAfterBreak="0">
    <w:nsid w:val="1DF034D6"/>
    <w:multiLevelType w:val="multilevel"/>
    <w:tmpl w:val="D98453F6"/>
    <w:styleLink w:val="Style1"/>
    <w:lvl w:ilvl="0">
      <w:start w:val="1"/>
      <w:numFmt w:val="none"/>
      <w:lvlText w:val=""/>
      <w:lvlJc w:val="left"/>
      <w:pPr>
        <w:ind w:left="460" w:hanging="460"/>
      </w:pPr>
      <w:rPr>
        <w:rFonts w:hint="default"/>
      </w:rPr>
    </w:lvl>
    <w:lvl w:ilvl="1">
      <w:start w:val="1"/>
      <w:numFmt w:val="upperLetter"/>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6A309F"/>
    <w:multiLevelType w:val="multilevel"/>
    <w:tmpl w:val="0908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9362D"/>
    <w:multiLevelType w:val="hybridMultilevel"/>
    <w:tmpl w:val="5BF8A1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6362D"/>
    <w:multiLevelType w:val="hybridMultilevel"/>
    <w:tmpl w:val="28525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574D1"/>
    <w:multiLevelType w:val="multilevel"/>
    <w:tmpl w:val="9102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6FF5C"/>
    <w:multiLevelType w:val="hybridMultilevel"/>
    <w:tmpl w:val="FFFFFFFF"/>
    <w:lvl w:ilvl="0" w:tplc="9BDA6430">
      <w:start w:val="1"/>
      <w:numFmt w:val="bullet"/>
      <w:lvlText w:val="-"/>
      <w:lvlJc w:val="left"/>
      <w:pPr>
        <w:ind w:left="720" w:hanging="360"/>
      </w:pPr>
      <w:rPr>
        <w:rFonts w:ascii="Symbol" w:hAnsi="Symbol" w:hint="default"/>
      </w:rPr>
    </w:lvl>
    <w:lvl w:ilvl="1" w:tplc="0A560A50">
      <w:start w:val="1"/>
      <w:numFmt w:val="bullet"/>
      <w:lvlText w:val="o"/>
      <w:lvlJc w:val="left"/>
      <w:pPr>
        <w:ind w:left="1440" w:hanging="360"/>
      </w:pPr>
      <w:rPr>
        <w:rFonts w:ascii="Courier New" w:hAnsi="Courier New" w:hint="default"/>
      </w:rPr>
    </w:lvl>
    <w:lvl w:ilvl="2" w:tplc="EDE89574">
      <w:start w:val="1"/>
      <w:numFmt w:val="bullet"/>
      <w:lvlText w:val=""/>
      <w:lvlJc w:val="left"/>
      <w:pPr>
        <w:ind w:left="2160" w:hanging="360"/>
      </w:pPr>
      <w:rPr>
        <w:rFonts w:ascii="Wingdings" w:hAnsi="Wingdings" w:hint="default"/>
      </w:rPr>
    </w:lvl>
    <w:lvl w:ilvl="3" w:tplc="0C741290">
      <w:start w:val="1"/>
      <w:numFmt w:val="bullet"/>
      <w:lvlText w:val=""/>
      <w:lvlJc w:val="left"/>
      <w:pPr>
        <w:ind w:left="2880" w:hanging="360"/>
      </w:pPr>
      <w:rPr>
        <w:rFonts w:ascii="Symbol" w:hAnsi="Symbol" w:hint="default"/>
      </w:rPr>
    </w:lvl>
    <w:lvl w:ilvl="4" w:tplc="82CC43EC">
      <w:start w:val="1"/>
      <w:numFmt w:val="bullet"/>
      <w:lvlText w:val="o"/>
      <w:lvlJc w:val="left"/>
      <w:pPr>
        <w:ind w:left="3600" w:hanging="360"/>
      </w:pPr>
      <w:rPr>
        <w:rFonts w:ascii="Courier New" w:hAnsi="Courier New" w:hint="default"/>
      </w:rPr>
    </w:lvl>
    <w:lvl w:ilvl="5" w:tplc="2FEA73FC">
      <w:start w:val="1"/>
      <w:numFmt w:val="bullet"/>
      <w:lvlText w:val=""/>
      <w:lvlJc w:val="left"/>
      <w:pPr>
        <w:ind w:left="4320" w:hanging="360"/>
      </w:pPr>
      <w:rPr>
        <w:rFonts w:ascii="Wingdings" w:hAnsi="Wingdings" w:hint="default"/>
      </w:rPr>
    </w:lvl>
    <w:lvl w:ilvl="6" w:tplc="E950511C">
      <w:start w:val="1"/>
      <w:numFmt w:val="bullet"/>
      <w:lvlText w:val=""/>
      <w:lvlJc w:val="left"/>
      <w:pPr>
        <w:ind w:left="5040" w:hanging="360"/>
      </w:pPr>
      <w:rPr>
        <w:rFonts w:ascii="Symbol" w:hAnsi="Symbol" w:hint="default"/>
      </w:rPr>
    </w:lvl>
    <w:lvl w:ilvl="7" w:tplc="02444E48">
      <w:start w:val="1"/>
      <w:numFmt w:val="bullet"/>
      <w:lvlText w:val="o"/>
      <w:lvlJc w:val="left"/>
      <w:pPr>
        <w:ind w:left="5760" w:hanging="360"/>
      </w:pPr>
      <w:rPr>
        <w:rFonts w:ascii="Courier New" w:hAnsi="Courier New" w:hint="default"/>
      </w:rPr>
    </w:lvl>
    <w:lvl w:ilvl="8" w:tplc="82F6AA8E">
      <w:start w:val="1"/>
      <w:numFmt w:val="bullet"/>
      <w:lvlText w:val=""/>
      <w:lvlJc w:val="left"/>
      <w:pPr>
        <w:ind w:left="6480" w:hanging="360"/>
      </w:pPr>
      <w:rPr>
        <w:rFonts w:ascii="Wingdings" w:hAnsi="Wingdings" w:hint="default"/>
      </w:rPr>
    </w:lvl>
  </w:abstractNum>
  <w:abstractNum w:abstractNumId="11" w15:restartNumberingAfterBreak="0">
    <w:nsid w:val="361C17F4"/>
    <w:multiLevelType w:val="hybridMultilevel"/>
    <w:tmpl w:val="30801D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38A7185B"/>
    <w:multiLevelType w:val="hybridMultilevel"/>
    <w:tmpl w:val="0456BA86"/>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3EFB5F32"/>
    <w:multiLevelType w:val="hybridMultilevel"/>
    <w:tmpl w:val="AEE660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33A7D"/>
    <w:multiLevelType w:val="hybridMultilevel"/>
    <w:tmpl w:val="1768786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3C93485"/>
    <w:multiLevelType w:val="hybridMultilevel"/>
    <w:tmpl w:val="988A7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7395EAC"/>
    <w:multiLevelType w:val="hybridMultilevel"/>
    <w:tmpl w:val="02BEA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81DFB"/>
    <w:multiLevelType w:val="hybridMultilevel"/>
    <w:tmpl w:val="ACDAB91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8" w15:restartNumberingAfterBreak="0">
    <w:nsid w:val="5D071C57"/>
    <w:multiLevelType w:val="multilevel"/>
    <w:tmpl w:val="34888D3A"/>
    <w:lvl w:ilvl="0">
      <w:start w:val="1"/>
      <w:numFmt w:val="none"/>
      <w:pStyle w:val="Heading1"/>
      <w:lvlText w:val=""/>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Letter"/>
      <w:lvlText w:val="%3.1."/>
      <w:lvlJc w:val="left"/>
      <w:pPr>
        <w:ind w:left="1080" w:hanging="360"/>
      </w:pPr>
      <w:rPr>
        <w:rFonts w:hint="default"/>
      </w:rPr>
    </w:lvl>
    <w:lvl w:ilvl="3">
      <w:start w:val="1"/>
      <w:numFmt w:val="none"/>
      <w:lvlText w:val="B.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B357AD"/>
    <w:multiLevelType w:val="hybridMultilevel"/>
    <w:tmpl w:val="FFFFFFFF"/>
    <w:lvl w:ilvl="0" w:tplc="442A5F40">
      <w:start w:val="1"/>
      <w:numFmt w:val="bullet"/>
      <w:lvlText w:val="·"/>
      <w:lvlJc w:val="left"/>
      <w:pPr>
        <w:ind w:left="720" w:hanging="360"/>
      </w:pPr>
      <w:rPr>
        <w:rFonts w:ascii="Symbol" w:hAnsi="Symbol" w:hint="default"/>
      </w:rPr>
    </w:lvl>
    <w:lvl w:ilvl="1" w:tplc="7CF0653E">
      <w:start w:val="1"/>
      <w:numFmt w:val="bullet"/>
      <w:lvlText w:val="o"/>
      <w:lvlJc w:val="left"/>
      <w:pPr>
        <w:ind w:left="1440" w:hanging="360"/>
      </w:pPr>
      <w:rPr>
        <w:rFonts w:ascii="Courier New" w:hAnsi="Courier New" w:hint="default"/>
      </w:rPr>
    </w:lvl>
    <w:lvl w:ilvl="2" w:tplc="6AAE3528">
      <w:start w:val="1"/>
      <w:numFmt w:val="bullet"/>
      <w:lvlText w:val=""/>
      <w:lvlJc w:val="left"/>
      <w:pPr>
        <w:ind w:left="2160" w:hanging="360"/>
      </w:pPr>
      <w:rPr>
        <w:rFonts w:ascii="Wingdings" w:hAnsi="Wingdings" w:hint="default"/>
      </w:rPr>
    </w:lvl>
    <w:lvl w:ilvl="3" w:tplc="9550BCEC">
      <w:start w:val="1"/>
      <w:numFmt w:val="bullet"/>
      <w:lvlText w:val=""/>
      <w:lvlJc w:val="left"/>
      <w:pPr>
        <w:ind w:left="2880" w:hanging="360"/>
      </w:pPr>
      <w:rPr>
        <w:rFonts w:ascii="Symbol" w:hAnsi="Symbol" w:hint="default"/>
      </w:rPr>
    </w:lvl>
    <w:lvl w:ilvl="4" w:tplc="3D72A54A">
      <w:start w:val="1"/>
      <w:numFmt w:val="bullet"/>
      <w:lvlText w:val="o"/>
      <w:lvlJc w:val="left"/>
      <w:pPr>
        <w:ind w:left="3600" w:hanging="360"/>
      </w:pPr>
      <w:rPr>
        <w:rFonts w:ascii="Courier New" w:hAnsi="Courier New" w:hint="default"/>
      </w:rPr>
    </w:lvl>
    <w:lvl w:ilvl="5" w:tplc="9F02828A">
      <w:start w:val="1"/>
      <w:numFmt w:val="bullet"/>
      <w:lvlText w:val=""/>
      <w:lvlJc w:val="left"/>
      <w:pPr>
        <w:ind w:left="4320" w:hanging="360"/>
      </w:pPr>
      <w:rPr>
        <w:rFonts w:ascii="Wingdings" w:hAnsi="Wingdings" w:hint="default"/>
      </w:rPr>
    </w:lvl>
    <w:lvl w:ilvl="6" w:tplc="90405DAA">
      <w:start w:val="1"/>
      <w:numFmt w:val="bullet"/>
      <w:lvlText w:val=""/>
      <w:lvlJc w:val="left"/>
      <w:pPr>
        <w:ind w:left="5040" w:hanging="360"/>
      </w:pPr>
      <w:rPr>
        <w:rFonts w:ascii="Symbol" w:hAnsi="Symbol" w:hint="default"/>
      </w:rPr>
    </w:lvl>
    <w:lvl w:ilvl="7" w:tplc="CE6CB1D4">
      <w:start w:val="1"/>
      <w:numFmt w:val="bullet"/>
      <w:lvlText w:val="o"/>
      <w:lvlJc w:val="left"/>
      <w:pPr>
        <w:ind w:left="5760" w:hanging="360"/>
      </w:pPr>
      <w:rPr>
        <w:rFonts w:ascii="Courier New" w:hAnsi="Courier New" w:hint="default"/>
      </w:rPr>
    </w:lvl>
    <w:lvl w:ilvl="8" w:tplc="7F78B07E">
      <w:start w:val="1"/>
      <w:numFmt w:val="bullet"/>
      <w:lvlText w:val=""/>
      <w:lvlJc w:val="left"/>
      <w:pPr>
        <w:ind w:left="6480" w:hanging="360"/>
      </w:pPr>
      <w:rPr>
        <w:rFonts w:ascii="Wingdings" w:hAnsi="Wingdings" w:hint="default"/>
      </w:rPr>
    </w:lvl>
  </w:abstractNum>
  <w:abstractNum w:abstractNumId="20" w15:restartNumberingAfterBreak="0">
    <w:nsid w:val="60027CB8"/>
    <w:multiLevelType w:val="hybridMultilevel"/>
    <w:tmpl w:val="C8F6276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65CA3C00"/>
    <w:multiLevelType w:val="multilevel"/>
    <w:tmpl w:val="039AA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E3D23"/>
    <w:multiLevelType w:val="multilevel"/>
    <w:tmpl w:val="6F6E4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DB135C1"/>
    <w:multiLevelType w:val="hybridMultilevel"/>
    <w:tmpl w:val="8B7A3A54"/>
    <w:lvl w:ilvl="0" w:tplc="2CFE5998">
      <w:start w:val="2017"/>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323707956">
    <w:abstractNumId w:val="18"/>
  </w:num>
  <w:num w:numId="2" w16cid:durableId="391806248">
    <w:abstractNumId w:val="5"/>
  </w:num>
  <w:num w:numId="3" w16cid:durableId="301888216">
    <w:abstractNumId w:val="12"/>
  </w:num>
  <w:num w:numId="4" w16cid:durableId="3554208">
    <w:abstractNumId w:val="17"/>
  </w:num>
  <w:num w:numId="5" w16cid:durableId="1278025245">
    <w:abstractNumId w:val="11"/>
  </w:num>
  <w:num w:numId="6" w16cid:durableId="571698845">
    <w:abstractNumId w:val="14"/>
  </w:num>
  <w:num w:numId="7" w16cid:durableId="871650708">
    <w:abstractNumId w:val="1"/>
  </w:num>
  <w:num w:numId="8" w16cid:durableId="846020164">
    <w:abstractNumId w:val="23"/>
  </w:num>
  <w:num w:numId="9" w16cid:durableId="716927257">
    <w:abstractNumId w:val="19"/>
  </w:num>
  <w:num w:numId="10" w16cid:durableId="885603645">
    <w:abstractNumId w:val="10"/>
  </w:num>
  <w:num w:numId="11" w16cid:durableId="39522563">
    <w:abstractNumId w:val="21"/>
  </w:num>
  <w:num w:numId="12" w16cid:durableId="1972980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1661935">
    <w:abstractNumId w:val="2"/>
  </w:num>
  <w:num w:numId="14" w16cid:durableId="8500275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491398">
    <w:abstractNumId w:val="6"/>
  </w:num>
  <w:num w:numId="16" w16cid:durableId="593321438">
    <w:abstractNumId w:val="9"/>
  </w:num>
  <w:num w:numId="17" w16cid:durableId="950625136">
    <w:abstractNumId w:val="20"/>
  </w:num>
  <w:num w:numId="18" w16cid:durableId="1247809991">
    <w:abstractNumId w:val="16"/>
  </w:num>
  <w:num w:numId="19" w16cid:durableId="822896385">
    <w:abstractNumId w:val="4"/>
  </w:num>
  <w:num w:numId="20" w16cid:durableId="710349350">
    <w:abstractNumId w:val="13"/>
  </w:num>
  <w:num w:numId="21" w16cid:durableId="1527594807">
    <w:abstractNumId w:val="8"/>
  </w:num>
  <w:num w:numId="22" w16cid:durableId="966156224">
    <w:abstractNumId w:val="7"/>
  </w:num>
  <w:num w:numId="23" w16cid:durableId="496195561">
    <w:abstractNumId w:val="3"/>
  </w:num>
  <w:num w:numId="24" w16cid:durableId="8050097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2MDeyNDE3MDW3NDRX0lEKTi0uzszPAykwqgUAaeq6PSwAAAA="/>
  </w:docVars>
  <w:rsids>
    <w:rsidRoot w:val="005428CF"/>
    <w:rsid w:val="00000086"/>
    <w:rsid w:val="000000E8"/>
    <w:rsid w:val="00001118"/>
    <w:rsid w:val="00001741"/>
    <w:rsid w:val="00001FDF"/>
    <w:rsid w:val="0000265A"/>
    <w:rsid w:val="00002A26"/>
    <w:rsid w:val="00002A52"/>
    <w:rsid w:val="000030A7"/>
    <w:rsid w:val="0000365E"/>
    <w:rsid w:val="00006023"/>
    <w:rsid w:val="00006089"/>
    <w:rsid w:val="000063D1"/>
    <w:rsid w:val="0000679D"/>
    <w:rsid w:val="000075B4"/>
    <w:rsid w:val="000116D4"/>
    <w:rsid w:val="000130B5"/>
    <w:rsid w:val="000139BB"/>
    <w:rsid w:val="00013A67"/>
    <w:rsid w:val="00015752"/>
    <w:rsid w:val="00015BFC"/>
    <w:rsid w:val="00015E5D"/>
    <w:rsid w:val="0001674D"/>
    <w:rsid w:val="0001692E"/>
    <w:rsid w:val="000172E1"/>
    <w:rsid w:val="000173CD"/>
    <w:rsid w:val="00017BFA"/>
    <w:rsid w:val="00020E70"/>
    <w:rsid w:val="00020F87"/>
    <w:rsid w:val="000210CB"/>
    <w:rsid w:val="000213E6"/>
    <w:rsid w:val="00022409"/>
    <w:rsid w:val="00022621"/>
    <w:rsid w:val="00022647"/>
    <w:rsid w:val="00022754"/>
    <w:rsid w:val="0002288B"/>
    <w:rsid w:val="00022B1E"/>
    <w:rsid w:val="000231B2"/>
    <w:rsid w:val="000234FC"/>
    <w:rsid w:val="00023776"/>
    <w:rsid w:val="00024E8C"/>
    <w:rsid w:val="00025A45"/>
    <w:rsid w:val="00025A5E"/>
    <w:rsid w:val="00026261"/>
    <w:rsid w:val="00026C1E"/>
    <w:rsid w:val="00026EE6"/>
    <w:rsid w:val="000279DD"/>
    <w:rsid w:val="00027C9F"/>
    <w:rsid w:val="000300A9"/>
    <w:rsid w:val="00030271"/>
    <w:rsid w:val="0003056F"/>
    <w:rsid w:val="0003086F"/>
    <w:rsid w:val="00030D29"/>
    <w:rsid w:val="00030DD1"/>
    <w:rsid w:val="00032231"/>
    <w:rsid w:val="00032B1B"/>
    <w:rsid w:val="000330FE"/>
    <w:rsid w:val="000337A7"/>
    <w:rsid w:val="000341F6"/>
    <w:rsid w:val="00034581"/>
    <w:rsid w:val="000346A3"/>
    <w:rsid w:val="00034D4E"/>
    <w:rsid w:val="00034DAA"/>
    <w:rsid w:val="000359D0"/>
    <w:rsid w:val="00037907"/>
    <w:rsid w:val="00037E5C"/>
    <w:rsid w:val="0004003B"/>
    <w:rsid w:val="00040065"/>
    <w:rsid w:val="0004063F"/>
    <w:rsid w:val="0004097A"/>
    <w:rsid w:val="00040CA6"/>
    <w:rsid w:val="00040D40"/>
    <w:rsid w:val="000410A1"/>
    <w:rsid w:val="000410EE"/>
    <w:rsid w:val="0004189B"/>
    <w:rsid w:val="00041DE9"/>
    <w:rsid w:val="00042956"/>
    <w:rsid w:val="00042976"/>
    <w:rsid w:val="00042D46"/>
    <w:rsid w:val="0004338C"/>
    <w:rsid w:val="0004382C"/>
    <w:rsid w:val="00044B60"/>
    <w:rsid w:val="00045345"/>
    <w:rsid w:val="000504C4"/>
    <w:rsid w:val="00050CEC"/>
    <w:rsid w:val="0005107D"/>
    <w:rsid w:val="0005129A"/>
    <w:rsid w:val="000517BB"/>
    <w:rsid w:val="0005300F"/>
    <w:rsid w:val="000533FA"/>
    <w:rsid w:val="000539E6"/>
    <w:rsid w:val="00053E7E"/>
    <w:rsid w:val="000550B2"/>
    <w:rsid w:val="00055704"/>
    <w:rsid w:val="00055CB2"/>
    <w:rsid w:val="00056ADD"/>
    <w:rsid w:val="00056D2A"/>
    <w:rsid w:val="00056DEE"/>
    <w:rsid w:val="000575E5"/>
    <w:rsid w:val="00057ABC"/>
    <w:rsid w:val="00057B69"/>
    <w:rsid w:val="00061357"/>
    <w:rsid w:val="00061913"/>
    <w:rsid w:val="00062715"/>
    <w:rsid w:val="00062E5B"/>
    <w:rsid w:val="00063ECF"/>
    <w:rsid w:val="000646B3"/>
    <w:rsid w:val="00064F4F"/>
    <w:rsid w:val="0006578D"/>
    <w:rsid w:val="0006583C"/>
    <w:rsid w:val="00065E54"/>
    <w:rsid w:val="00067405"/>
    <w:rsid w:val="000674C6"/>
    <w:rsid w:val="00067AF6"/>
    <w:rsid w:val="00067B1E"/>
    <w:rsid w:val="00070072"/>
    <w:rsid w:val="00071640"/>
    <w:rsid w:val="000717F3"/>
    <w:rsid w:val="000725DC"/>
    <w:rsid w:val="00072896"/>
    <w:rsid w:val="00074879"/>
    <w:rsid w:val="00074D33"/>
    <w:rsid w:val="00075081"/>
    <w:rsid w:val="0007567D"/>
    <w:rsid w:val="000756EC"/>
    <w:rsid w:val="0007583D"/>
    <w:rsid w:val="00075E7B"/>
    <w:rsid w:val="000765BF"/>
    <w:rsid w:val="000768EB"/>
    <w:rsid w:val="0007705A"/>
    <w:rsid w:val="000778B3"/>
    <w:rsid w:val="00077A98"/>
    <w:rsid w:val="00077B18"/>
    <w:rsid w:val="00077B3A"/>
    <w:rsid w:val="00077D18"/>
    <w:rsid w:val="00080FD6"/>
    <w:rsid w:val="000810A4"/>
    <w:rsid w:val="0008131C"/>
    <w:rsid w:val="00081A0D"/>
    <w:rsid w:val="00081F4D"/>
    <w:rsid w:val="00082C11"/>
    <w:rsid w:val="0008301D"/>
    <w:rsid w:val="000834A3"/>
    <w:rsid w:val="00083BF0"/>
    <w:rsid w:val="000851AA"/>
    <w:rsid w:val="000855FE"/>
    <w:rsid w:val="000856B0"/>
    <w:rsid w:val="00085D98"/>
    <w:rsid w:val="00085F2C"/>
    <w:rsid w:val="000864F6"/>
    <w:rsid w:val="000869DF"/>
    <w:rsid w:val="000877BD"/>
    <w:rsid w:val="000904F2"/>
    <w:rsid w:val="00092316"/>
    <w:rsid w:val="000925AC"/>
    <w:rsid w:val="00093751"/>
    <w:rsid w:val="000937AA"/>
    <w:rsid w:val="000937BE"/>
    <w:rsid w:val="00093FD2"/>
    <w:rsid w:val="00095A09"/>
    <w:rsid w:val="00095B81"/>
    <w:rsid w:val="00097044"/>
    <w:rsid w:val="00097817"/>
    <w:rsid w:val="00097C85"/>
    <w:rsid w:val="000A000B"/>
    <w:rsid w:val="000A0276"/>
    <w:rsid w:val="000A0BBE"/>
    <w:rsid w:val="000A0BE3"/>
    <w:rsid w:val="000A1109"/>
    <w:rsid w:val="000A1913"/>
    <w:rsid w:val="000A1FDF"/>
    <w:rsid w:val="000A21F1"/>
    <w:rsid w:val="000A2C53"/>
    <w:rsid w:val="000A354E"/>
    <w:rsid w:val="000A4918"/>
    <w:rsid w:val="000A5DB7"/>
    <w:rsid w:val="000A6660"/>
    <w:rsid w:val="000A7032"/>
    <w:rsid w:val="000A75B9"/>
    <w:rsid w:val="000B00B1"/>
    <w:rsid w:val="000B10E1"/>
    <w:rsid w:val="000B14C2"/>
    <w:rsid w:val="000B1BE6"/>
    <w:rsid w:val="000B1CB3"/>
    <w:rsid w:val="000B21DA"/>
    <w:rsid w:val="000B2DCD"/>
    <w:rsid w:val="000B3499"/>
    <w:rsid w:val="000B3534"/>
    <w:rsid w:val="000B35B3"/>
    <w:rsid w:val="000B37F9"/>
    <w:rsid w:val="000B38DE"/>
    <w:rsid w:val="000B39F0"/>
    <w:rsid w:val="000B3A5C"/>
    <w:rsid w:val="000B5316"/>
    <w:rsid w:val="000B5415"/>
    <w:rsid w:val="000B601F"/>
    <w:rsid w:val="000B68C4"/>
    <w:rsid w:val="000B72F8"/>
    <w:rsid w:val="000B754E"/>
    <w:rsid w:val="000B79BC"/>
    <w:rsid w:val="000B7C81"/>
    <w:rsid w:val="000C0871"/>
    <w:rsid w:val="000C0FB4"/>
    <w:rsid w:val="000C253A"/>
    <w:rsid w:val="000C26FB"/>
    <w:rsid w:val="000C3CD2"/>
    <w:rsid w:val="000C4B66"/>
    <w:rsid w:val="000C535E"/>
    <w:rsid w:val="000C60B7"/>
    <w:rsid w:val="000C647F"/>
    <w:rsid w:val="000C6675"/>
    <w:rsid w:val="000C66CF"/>
    <w:rsid w:val="000C7037"/>
    <w:rsid w:val="000D024C"/>
    <w:rsid w:val="000D06D0"/>
    <w:rsid w:val="000D08E0"/>
    <w:rsid w:val="000D0CD0"/>
    <w:rsid w:val="000D0DDE"/>
    <w:rsid w:val="000D115E"/>
    <w:rsid w:val="000D29D7"/>
    <w:rsid w:val="000D2E04"/>
    <w:rsid w:val="000D329B"/>
    <w:rsid w:val="000D3407"/>
    <w:rsid w:val="000D4DEB"/>
    <w:rsid w:val="000D5197"/>
    <w:rsid w:val="000D559E"/>
    <w:rsid w:val="000D5E07"/>
    <w:rsid w:val="000D76D0"/>
    <w:rsid w:val="000D777A"/>
    <w:rsid w:val="000E08D5"/>
    <w:rsid w:val="000E0C2D"/>
    <w:rsid w:val="000E0EB5"/>
    <w:rsid w:val="000E16AB"/>
    <w:rsid w:val="000E1A2F"/>
    <w:rsid w:val="000E1CE8"/>
    <w:rsid w:val="000E2099"/>
    <w:rsid w:val="000E2F8C"/>
    <w:rsid w:val="000E3261"/>
    <w:rsid w:val="000E38DB"/>
    <w:rsid w:val="000E3C15"/>
    <w:rsid w:val="000E46D9"/>
    <w:rsid w:val="000E4B5A"/>
    <w:rsid w:val="000E5497"/>
    <w:rsid w:val="000E55E3"/>
    <w:rsid w:val="000E5BA5"/>
    <w:rsid w:val="000E6645"/>
    <w:rsid w:val="000E6BA2"/>
    <w:rsid w:val="000E70BA"/>
    <w:rsid w:val="000E7558"/>
    <w:rsid w:val="000E7770"/>
    <w:rsid w:val="000F0766"/>
    <w:rsid w:val="000F104C"/>
    <w:rsid w:val="000F1A09"/>
    <w:rsid w:val="000F1DD8"/>
    <w:rsid w:val="000F2726"/>
    <w:rsid w:val="000F2B2E"/>
    <w:rsid w:val="000F2B57"/>
    <w:rsid w:val="000F3016"/>
    <w:rsid w:val="000F3A34"/>
    <w:rsid w:val="000F3C4D"/>
    <w:rsid w:val="000F4A3D"/>
    <w:rsid w:val="000F5048"/>
    <w:rsid w:val="000F51D4"/>
    <w:rsid w:val="000F53DA"/>
    <w:rsid w:val="000F5431"/>
    <w:rsid w:val="000F5451"/>
    <w:rsid w:val="000F5AEA"/>
    <w:rsid w:val="000F7111"/>
    <w:rsid w:val="00100402"/>
    <w:rsid w:val="0010053E"/>
    <w:rsid w:val="00100585"/>
    <w:rsid w:val="00100A59"/>
    <w:rsid w:val="0010140F"/>
    <w:rsid w:val="001014F0"/>
    <w:rsid w:val="00101DD9"/>
    <w:rsid w:val="001022AE"/>
    <w:rsid w:val="001022F6"/>
    <w:rsid w:val="00102CC8"/>
    <w:rsid w:val="00102F8E"/>
    <w:rsid w:val="001032C4"/>
    <w:rsid w:val="001036A9"/>
    <w:rsid w:val="001048A6"/>
    <w:rsid w:val="00104C34"/>
    <w:rsid w:val="00104DE1"/>
    <w:rsid w:val="00105363"/>
    <w:rsid w:val="00105DDD"/>
    <w:rsid w:val="00105E7F"/>
    <w:rsid w:val="001060F1"/>
    <w:rsid w:val="001066A5"/>
    <w:rsid w:val="00106EA1"/>
    <w:rsid w:val="001078C7"/>
    <w:rsid w:val="0011035A"/>
    <w:rsid w:val="00110B33"/>
    <w:rsid w:val="001110F2"/>
    <w:rsid w:val="00111235"/>
    <w:rsid w:val="00112110"/>
    <w:rsid w:val="0011275F"/>
    <w:rsid w:val="00113008"/>
    <w:rsid w:val="00113202"/>
    <w:rsid w:val="00113289"/>
    <w:rsid w:val="0011376F"/>
    <w:rsid w:val="00113AB4"/>
    <w:rsid w:val="0011431F"/>
    <w:rsid w:val="0011495B"/>
    <w:rsid w:val="00115C84"/>
    <w:rsid w:val="00115E40"/>
    <w:rsid w:val="00115E64"/>
    <w:rsid w:val="00116196"/>
    <w:rsid w:val="0011677C"/>
    <w:rsid w:val="00116C08"/>
    <w:rsid w:val="001175E2"/>
    <w:rsid w:val="00117840"/>
    <w:rsid w:val="001214CF"/>
    <w:rsid w:val="00121AB0"/>
    <w:rsid w:val="00121E51"/>
    <w:rsid w:val="001222A5"/>
    <w:rsid w:val="00122391"/>
    <w:rsid w:val="00122549"/>
    <w:rsid w:val="001229E2"/>
    <w:rsid w:val="00122CB9"/>
    <w:rsid w:val="001231BC"/>
    <w:rsid w:val="001232D7"/>
    <w:rsid w:val="00123828"/>
    <w:rsid w:val="00125166"/>
    <w:rsid w:val="0012523E"/>
    <w:rsid w:val="0012525B"/>
    <w:rsid w:val="00125CA1"/>
    <w:rsid w:val="00125DEC"/>
    <w:rsid w:val="00126E86"/>
    <w:rsid w:val="00127364"/>
    <w:rsid w:val="0012772D"/>
    <w:rsid w:val="001301E1"/>
    <w:rsid w:val="001309E3"/>
    <w:rsid w:val="00131B30"/>
    <w:rsid w:val="00132343"/>
    <w:rsid w:val="001323CF"/>
    <w:rsid w:val="00133751"/>
    <w:rsid w:val="00133CEF"/>
    <w:rsid w:val="00134545"/>
    <w:rsid w:val="001345F4"/>
    <w:rsid w:val="00135100"/>
    <w:rsid w:val="001351B4"/>
    <w:rsid w:val="00135369"/>
    <w:rsid w:val="00136956"/>
    <w:rsid w:val="00136C5D"/>
    <w:rsid w:val="0013769D"/>
    <w:rsid w:val="00140642"/>
    <w:rsid w:val="0014087A"/>
    <w:rsid w:val="00140915"/>
    <w:rsid w:val="00141994"/>
    <w:rsid w:val="00141A90"/>
    <w:rsid w:val="001423BE"/>
    <w:rsid w:val="0014331F"/>
    <w:rsid w:val="00143F25"/>
    <w:rsid w:val="001442E5"/>
    <w:rsid w:val="00144DB1"/>
    <w:rsid w:val="00144E4D"/>
    <w:rsid w:val="0014500F"/>
    <w:rsid w:val="001450C0"/>
    <w:rsid w:val="00145461"/>
    <w:rsid w:val="00146510"/>
    <w:rsid w:val="00146D0A"/>
    <w:rsid w:val="00150285"/>
    <w:rsid w:val="001506AE"/>
    <w:rsid w:val="0015098B"/>
    <w:rsid w:val="00150AB0"/>
    <w:rsid w:val="00150CB8"/>
    <w:rsid w:val="00152666"/>
    <w:rsid w:val="00152F4E"/>
    <w:rsid w:val="0015542B"/>
    <w:rsid w:val="0015559F"/>
    <w:rsid w:val="00155770"/>
    <w:rsid w:val="0015579B"/>
    <w:rsid w:val="001561B9"/>
    <w:rsid w:val="00156231"/>
    <w:rsid w:val="001566B0"/>
    <w:rsid w:val="001572EA"/>
    <w:rsid w:val="00157876"/>
    <w:rsid w:val="00157C40"/>
    <w:rsid w:val="00157E39"/>
    <w:rsid w:val="001602AD"/>
    <w:rsid w:val="001605D4"/>
    <w:rsid w:val="0016158B"/>
    <w:rsid w:val="00161E99"/>
    <w:rsid w:val="0016347B"/>
    <w:rsid w:val="00164F05"/>
    <w:rsid w:val="001660E7"/>
    <w:rsid w:val="00166785"/>
    <w:rsid w:val="0016694C"/>
    <w:rsid w:val="0016698D"/>
    <w:rsid w:val="001672F0"/>
    <w:rsid w:val="001678AF"/>
    <w:rsid w:val="00167B36"/>
    <w:rsid w:val="00170BCA"/>
    <w:rsid w:val="00170BDA"/>
    <w:rsid w:val="001719C9"/>
    <w:rsid w:val="00171A0A"/>
    <w:rsid w:val="00171A1C"/>
    <w:rsid w:val="00171C71"/>
    <w:rsid w:val="0017244E"/>
    <w:rsid w:val="00172915"/>
    <w:rsid w:val="001733E3"/>
    <w:rsid w:val="00173533"/>
    <w:rsid w:val="00173A39"/>
    <w:rsid w:val="00173ACE"/>
    <w:rsid w:val="00173ECD"/>
    <w:rsid w:val="00174565"/>
    <w:rsid w:val="00174639"/>
    <w:rsid w:val="00174851"/>
    <w:rsid w:val="0017627D"/>
    <w:rsid w:val="00176424"/>
    <w:rsid w:val="001766E6"/>
    <w:rsid w:val="00176983"/>
    <w:rsid w:val="00176C67"/>
    <w:rsid w:val="00176F85"/>
    <w:rsid w:val="00177A65"/>
    <w:rsid w:val="00180183"/>
    <w:rsid w:val="001803BD"/>
    <w:rsid w:val="00180520"/>
    <w:rsid w:val="00180719"/>
    <w:rsid w:val="00181386"/>
    <w:rsid w:val="00181C9D"/>
    <w:rsid w:val="00182B7D"/>
    <w:rsid w:val="001832BA"/>
    <w:rsid w:val="00184149"/>
    <w:rsid w:val="001843F1"/>
    <w:rsid w:val="00184E8C"/>
    <w:rsid w:val="001852B9"/>
    <w:rsid w:val="00185E7C"/>
    <w:rsid w:val="00187116"/>
    <w:rsid w:val="00187454"/>
    <w:rsid w:val="001877F1"/>
    <w:rsid w:val="001900C4"/>
    <w:rsid w:val="00190534"/>
    <w:rsid w:val="001906E9"/>
    <w:rsid w:val="00190C7C"/>
    <w:rsid w:val="00191031"/>
    <w:rsid w:val="0019173D"/>
    <w:rsid w:val="00191EBA"/>
    <w:rsid w:val="00192131"/>
    <w:rsid w:val="001931D2"/>
    <w:rsid w:val="0019425F"/>
    <w:rsid w:val="00194997"/>
    <w:rsid w:val="00194AB7"/>
    <w:rsid w:val="00194E09"/>
    <w:rsid w:val="001953CA"/>
    <w:rsid w:val="0019549C"/>
    <w:rsid w:val="00195577"/>
    <w:rsid w:val="00195654"/>
    <w:rsid w:val="001957B8"/>
    <w:rsid w:val="00195854"/>
    <w:rsid w:val="00195C78"/>
    <w:rsid w:val="00197588"/>
    <w:rsid w:val="00197DD6"/>
    <w:rsid w:val="00197E8B"/>
    <w:rsid w:val="001A0C48"/>
    <w:rsid w:val="001A10CE"/>
    <w:rsid w:val="001A1D0D"/>
    <w:rsid w:val="001A1FD7"/>
    <w:rsid w:val="001A221B"/>
    <w:rsid w:val="001A272F"/>
    <w:rsid w:val="001A3827"/>
    <w:rsid w:val="001A3DF8"/>
    <w:rsid w:val="001A4787"/>
    <w:rsid w:val="001A4AE5"/>
    <w:rsid w:val="001A5D2B"/>
    <w:rsid w:val="001A5F0A"/>
    <w:rsid w:val="001A6D0A"/>
    <w:rsid w:val="001A7713"/>
    <w:rsid w:val="001A777B"/>
    <w:rsid w:val="001B0678"/>
    <w:rsid w:val="001B101B"/>
    <w:rsid w:val="001B14E2"/>
    <w:rsid w:val="001B14F8"/>
    <w:rsid w:val="001B271C"/>
    <w:rsid w:val="001B2880"/>
    <w:rsid w:val="001B29FE"/>
    <w:rsid w:val="001B35E7"/>
    <w:rsid w:val="001B3DE3"/>
    <w:rsid w:val="001B4301"/>
    <w:rsid w:val="001B44FC"/>
    <w:rsid w:val="001B4832"/>
    <w:rsid w:val="001B49D8"/>
    <w:rsid w:val="001B52D4"/>
    <w:rsid w:val="001B5E13"/>
    <w:rsid w:val="001B61F2"/>
    <w:rsid w:val="001B6D22"/>
    <w:rsid w:val="001C0C98"/>
    <w:rsid w:val="001C1AC1"/>
    <w:rsid w:val="001C1B54"/>
    <w:rsid w:val="001C1CEF"/>
    <w:rsid w:val="001C1D50"/>
    <w:rsid w:val="001C1E79"/>
    <w:rsid w:val="001C2183"/>
    <w:rsid w:val="001C27E6"/>
    <w:rsid w:val="001C2800"/>
    <w:rsid w:val="001C2942"/>
    <w:rsid w:val="001C2CA0"/>
    <w:rsid w:val="001C338B"/>
    <w:rsid w:val="001C34B8"/>
    <w:rsid w:val="001C375F"/>
    <w:rsid w:val="001C4064"/>
    <w:rsid w:val="001C407B"/>
    <w:rsid w:val="001C416B"/>
    <w:rsid w:val="001C422A"/>
    <w:rsid w:val="001C4564"/>
    <w:rsid w:val="001C55EF"/>
    <w:rsid w:val="001C6221"/>
    <w:rsid w:val="001C6377"/>
    <w:rsid w:val="001C65C3"/>
    <w:rsid w:val="001C6A5B"/>
    <w:rsid w:val="001C738D"/>
    <w:rsid w:val="001C7919"/>
    <w:rsid w:val="001C7B58"/>
    <w:rsid w:val="001C7EB0"/>
    <w:rsid w:val="001D04BA"/>
    <w:rsid w:val="001D2E97"/>
    <w:rsid w:val="001D3975"/>
    <w:rsid w:val="001D3E54"/>
    <w:rsid w:val="001D4682"/>
    <w:rsid w:val="001D485D"/>
    <w:rsid w:val="001D5CB5"/>
    <w:rsid w:val="001D6016"/>
    <w:rsid w:val="001D65F1"/>
    <w:rsid w:val="001D754E"/>
    <w:rsid w:val="001D7CEA"/>
    <w:rsid w:val="001D7D23"/>
    <w:rsid w:val="001D7DDB"/>
    <w:rsid w:val="001D7DF6"/>
    <w:rsid w:val="001D7E20"/>
    <w:rsid w:val="001E0A0E"/>
    <w:rsid w:val="001E0BDF"/>
    <w:rsid w:val="001E0E8A"/>
    <w:rsid w:val="001E1973"/>
    <w:rsid w:val="001E1FB8"/>
    <w:rsid w:val="001E237D"/>
    <w:rsid w:val="001E28A5"/>
    <w:rsid w:val="001E2D99"/>
    <w:rsid w:val="001E31AF"/>
    <w:rsid w:val="001E3FCE"/>
    <w:rsid w:val="001E471B"/>
    <w:rsid w:val="001E579F"/>
    <w:rsid w:val="001E6BE4"/>
    <w:rsid w:val="001E6FFC"/>
    <w:rsid w:val="001E739C"/>
    <w:rsid w:val="001E7D7E"/>
    <w:rsid w:val="001F0DA5"/>
    <w:rsid w:val="001F105F"/>
    <w:rsid w:val="001F1AD0"/>
    <w:rsid w:val="001F1AF3"/>
    <w:rsid w:val="001F221C"/>
    <w:rsid w:val="001F2424"/>
    <w:rsid w:val="001F24C9"/>
    <w:rsid w:val="001F2534"/>
    <w:rsid w:val="001F2583"/>
    <w:rsid w:val="001F29EB"/>
    <w:rsid w:val="001F33CB"/>
    <w:rsid w:val="001F36A6"/>
    <w:rsid w:val="001F39A5"/>
    <w:rsid w:val="001F3CD9"/>
    <w:rsid w:val="001F4748"/>
    <w:rsid w:val="001F498D"/>
    <w:rsid w:val="001F4B9C"/>
    <w:rsid w:val="001F5DBB"/>
    <w:rsid w:val="001F5FAA"/>
    <w:rsid w:val="001F63E6"/>
    <w:rsid w:val="001F72AC"/>
    <w:rsid w:val="001F7F1D"/>
    <w:rsid w:val="001F7FF3"/>
    <w:rsid w:val="001FB1E5"/>
    <w:rsid w:val="00200D10"/>
    <w:rsid w:val="002011EF"/>
    <w:rsid w:val="002024E5"/>
    <w:rsid w:val="002026B6"/>
    <w:rsid w:val="00202D8E"/>
    <w:rsid w:val="00203087"/>
    <w:rsid w:val="002038AE"/>
    <w:rsid w:val="00204339"/>
    <w:rsid w:val="00204369"/>
    <w:rsid w:val="002054E3"/>
    <w:rsid w:val="00205A7F"/>
    <w:rsid w:val="00205CD1"/>
    <w:rsid w:val="00205F0E"/>
    <w:rsid w:val="00206170"/>
    <w:rsid w:val="00206703"/>
    <w:rsid w:val="00206F47"/>
    <w:rsid w:val="00206F9D"/>
    <w:rsid w:val="002078BC"/>
    <w:rsid w:val="002100FC"/>
    <w:rsid w:val="00210332"/>
    <w:rsid w:val="0021052B"/>
    <w:rsid w:val="002108AC"/>
    <w:rsid w:val="00211F1E"/>
    <w:rsid w:val="002126F9"/>
    <w:rsid w:val="00212C10"/>
    <w:rsid w:val="002134C2"/>
    <w:rsid w:val="002138B2"/>
    <w:rsid w:val="00214C52"/>
    <w:rsid w:val="002151E6"/>
    <w:rsid w:val="00215A69"/>
    <w:rsid w:val="00215C34"/>
    <w:rsid w:val="002165D4"/>
    <w:rsid w:val="0021672E"/>
    <w:rsid w:val="00217324"/>
    <w:rsid w:val="002174BF"/>
    <w:rsid w:val="002201EE"/>
    <w:rsid w:val="00220777"/>
    <w:rsid w:val="00220F3E"/>
    <w:rsid w:val="00221122"/>
    <w:rsid w:val="00221150"/>
    <w:rsid w:val="00221C32"/>
    <w:rsid w:val="00221E73"/>
    <w:rsid w:val="00222246"/>
    <w:rsid w:val="002222C0"/>
    <w:rsid w:val="002227F8"/>
    <w:rsid w:val="002228A6"/>
    <w:rsid w:val="0022295E"/>
    <w:rsid w:val="00222987"/>
    <w:rsid w:val="00223010"/>
    <w:rsid w:val="002231F6"/>
    <w:rsid w:val="00223DA6"/>
    <w:rsid w:val="00223DCB"/>
    <w:rsid w:val="002240F0"/>
    <w:rsid w:val="00224202"/>
    <w:rsid w:val="00225C56"/>
    <w:rsid w:val="002262D0"/>
    <w:rsid w:val="00226E3D"/>
    <w:rsid w:val="0022712C"/>
    <w:rsid w:val="002274E7"/>
    <w:rsid w:val="00230683"/>
    <w:rsid w:val="002308A9"/>
    <w:rsid w:val="00230F52"/>
    <w:rsid w:val="0023148A"/>
    <w:rsid w:val="00231F0E"/>
    <w:rsid w:val="0023235C"/>
    <w:rsid w:val="00232887"/>
    <w:rsid w:val="00233889"/>
    <w:rsid w:val="00234148"/>
    <w:rsid w:val="002341DB"/>
    <w:rsid w:val="0023481F"/>
    <w:rsid w:val="00234AED"/>
    <w:rsid w:val="002353E9"/>
    <w:rsid w:val="0023585C"/>
    <w:rsid w:val="00236641"/>
    <w:rsid w:val="002371C7"/>
    <w:rsid w:val="002375E7"/>
    <w:rsid w:val="002412DA"/>
    <w:rsid w:val="00241AE6"/>
    <w:rsid w:val="00241B89"/>
    <w:rsid w:val="00241D6A"/>
    <w:rsid w:val="002420A6"/>
    <w:rsid w:val="002424B7"/>
    <w:rsid w:val="0024260E"/>
    <w:rsid w:val="002431A5"/>
    <w:rsid w:val="00243D89"/>
    <w:rsid w:val="0024436F"/>
    <w:rsid w:val="00244C32"/>
    <w:rsid w:val="002456DA"/>
    <w:rsid w:val="00245765"/>
    <w:rsid w:val="00245F1E"/>
    <w:rsid w:val="00246206"/>
    <w:rsid w:val="002477EC"/>
    <w:rsid w:val="00247CA6"/>
    <w:rsid w:val="00247F28"/>
    <w:rsid w:val="00250F36"/>
    <w:rsid w:val="00251594"/>
    <w:rsid w:val="002516D9"/>
    <w:rsid w:val="0025181A"/>
    <w:rsid w:val="00251869"/>
    <w:rsid w:val="00252003"/>
    <w:rsid w:val="00252543"/>
    <w:rsid w:val="00252EEA"/>
    <w:rsid w:val="00253143"/>
    <w:rsid w:val="002536AA"/>
    <w:rsid w:val="0025400A"/>
    <w:rsid w:val="0025478C"/>
    <w:rsid w:val="00254A58"/>
    <w:rsid w:val="0025504D"/>
    <w:rsid w:val="002553ED"/>
    <w:rsid w:val="00255978"/>
    <w:rsid w:val="00255A9E"/>
    <w:rsid w:val="0025629B"/>
    <w:rsid w:val="002564BA"/>
    <w:rsid w:val="00257C27"/>
    <w:rsid w:val="00257DD1"/>
    <w:rsid w:val="00257ED1"/>
    <w:rsid w:val="00260486"/>
    <w:rsid w:val="00260AB4"/>
    <w:rsid w:val="00260EA4"/>
    <w:rsid w:val="00260F6E"/>
    <w:rsid w:val="002613E5"/>
    <w:rsid w:val="002619CB"/>
    <w:rsid w:val="00261FE6"/>
    <w:rsid w:val="0026241B"/>
    <w:rsid w:val="00262CC8"/>
    <w:rsid w:val="00264A83"/>
    <w:rsid w:val="00264D96"/>
    <w:rsid w:val="00265E7B"/>
    <w:rsid w:val="00265FB1"/>
    <w:rsid w:val="00267264"/>
    <w:rsid w:val="002674ED"/>
    <w:rsid w:val="002702BD"/>
    <w:rsid w:val="0027055B"/>
    <w:rsid w:val="0027068C"/>
    <w:rsid w:val="00270D36"/>
    <w:rsid w:val="0027126F"/>
    <w:rsid w:val="002717CE"/>
    <w:rsid w:val="00271CAB"/>
    <w:rsid w:val="00271E61"/>
    <w:rsid w:val="00272219"/>
    <w:rsid w:val="00272C43"/>
    <w:rsid w:val="00273284"/>
    <w:rsid w:val="002735FE"/>
    <w:rsid w:val="00273823"/>
    <w:rsid w:val="002747EC"/>
    <w:rsid w:val="00274D41"/>
    <w:rsid w:val="00275400"/>
    <w:rsid w:val="0027581E"/>
    <w:rsid w:val="00275EED"/>
    <w:rsid w:val="00276360"/>
    <w:rsid w:val="002768E5"/>
    <w:rsid w:val="00276901"/>
    <w:rsid w:val="0027757D"/>
    <w:rsid w:val="00277880"/>
    <w:rsid w:val="002801AD"/>
    <w:rsid w:val="00280476"/>
    <w:rsid w:val="002808E2"/>
    <w:rsid w:val="00280D00"/>
    <w:rsid w:val="00281565"/>
    <w:rsid w:val="00282222"/>
    <w:rsid w:val="0028248B"/>
    <w:rsid w:val="0028256F"/>
    <w:rsid w:val="0028355E"/>
    <w:rsid w:val="00283C6B"/>
    <w:rsid w:val="002852EE"/>
    <w:rsid w:val="002854AF"/>
    <w:rsid w:val="00285807"/>
    <w:rsid w:val="002859C9"/>
    <w:rsid w:val="002862FA"/>
    <w:rsid w:val="002866E5"/>
    <w:rsid w:val="002874A4"/>
    <w:rsid w:val="00287D74"/>
    <w:rsid w:val="00291253"/>
    <w:rsid w:val="002920B7"/>
    <w:rsid w:val="0029248E"/>
    <w:rsid w:val="002926DA"/>
    <w:rsid w:val="00293086"/>
    <w:rsid w:val="00293113"/>
    <w:rsid w:val="002933B6"/>
    <w:rsid w:val="0029370A"/>
    <w:rsid w:val="00293E19"/>
    <w:rsid w:val="00294397"/>
    <w:rsid w:val="00294C24"/>
    <w:rsid w:val="0029539A"/>
    <w:rsid w:val="0029681E"/>
    <w:rsid w:val="00297059"/>
    <w:rsid w:val="00297FF1"/>
    <w:rsid w:val="002A0144"/>
    <w:rsid w:val="002A07BA"/>
    <w:rsid w:val="002A0D77"/>
    <w:rsid w:val="002A0F9E"/>
    <w:rsid w:val="002A110B"/>
    <w:rsid w:val="002A181E"/>
    <w:rsid w:val="002A1A28"/>
    <w:rsid w:val="002A1B5E"/>
    <w:rsid w:val="002A2493"/>
    <w:rsid w:val="002A24FF"/>
    <w:rsid w:val="002A30F8"/>
    <w:rsid w:val="002A3E59"/>
    <w:rsid w:val="002A5596"/>
    <w:rsid w:val="002A67F9"/>
    <w:rsid w:val="002A6A41"/>
    <w:rsid w:val="002A789B"/>
    <w:rsid w:val="002A79A4"/>
    <w:rsid w:val="002A7DFC"/>
    <w:rsid w:val="002A7E57"/>
    <w:rsid w:val="002B0AF0"/>
    <w:rsid w:val="002B2269"/>
    <w:rsid w:val="002B2CD3"/>
    <w:rsid w:val="002B3224"/>
    <w:rsid w:val="002B4178"/>
    <w:rsid w:val="002B4382"/>
    <w:rsid w:val="002B523B"/>
    <w:rsid w:val="002B5425"/>
    <w:rsid w:val="002B58E4"/>
    <w:rsid w:val="002B6E39"/>
    <w:rsid w:val="002B7664"/>
    <w:rsid w:val="002B76E3"/>
    <w:rsid w:val="002C063D"/>
    <w:rsid w:val="002C07E4"/>
    <w:rsid w:val="002C0E74"/>
    <w:rsid w:val="002C10D4"/>
    <w:rsid w:val="002C1909"/>
    <w:rsid w:val="002C1D86"/>
    <w:rsid w:val="002C2581"/>
    <w:rsid w:val="002C2D9D"/>
    <w:rsid w:val="002C33DE"/>
    <w:rsid w:val="002C35C2"/>
    <w:rsid w:val="002C3B27"/>
    <w:rsid w:val="002C3E8B"/>
    <w:rsid w:val="002C3EC5"/>
    <w:rsid w:val="002C4275"/>
    <w:rsid w:val="002C435B"/>
    <w:rsid w:val="002C4554"/>
    <w:rsid w:val="002C4B14"/>
    <w:rsid w:val="002C51A7"/>
    <w:rsid w:val="002C5796"/>
    <w:rsid w:val="002C5912"/>
    <w:rsid w:val="002C59E9"/>
    <w:rsid w:val="002C5BB6"/>
    <w:rsid w:val="002C61BE"/>
    <w:rsid w:val="002C663E"/>
    <w:rsid w:val="002C7180"/>
    <w:rsid w:val="002C73F4"/>
    <w:rsid w:val="002C7684"/>
    <w:rsid w:val="002C7776"/>
    <w:rsid w:val="002C7DB8"/>
    <w:rsid w:val="002D09FC"/>
    <w:rsid w:val="002D0CEF"/>
    <w:rsid w:val="002D18D0"/>
    <w:rsid w:val="002D1A11"/>
    <w:rsid w:val="002D2289"/>
    <w:rsid w:val="002D27B1"/>
    <w:rsid w:val="002D3146"/>
    <w:rsid w:val="002D36F1"/>
    <w:rsid w:val="002D3AB9"/>
    <w:rsid w:val="002D41D2"/>
    <w:rsid w:val="002D45F5"/>
    <w:rsid w:val="002D4660"/>
    <w:rsid w:val="002D47FC"/>
    <w:rsid w:val="002D4D66"/>
    <w:rsid w:val="002D4DE9"/>
    <w:rsid w:val="002D4EE1"/>
    <w:rsid w:val="002D5239"/>
    <w:rsid w:val="002D557B"/>
    <w:rsid w:val="002D5E2A"/>
    <w:rsid w:val="002D5FB5"/>
    <w:rsid w:val="002D65A3"/>
    <w:rsid w:val="002D788A"/>
    <w:rsid w:val="002D7CCA"/>
    <w:rsid w:val="002D7F57"/>
    <w:rsid w:val="002E040A"/>
    <w:rsid w:val="002E0778"/>
    <w:rsid w:val="002E0CA0"/>
    <w:rsid w:val="002E1017"/>
    <w:rsid w:val="002E2297"/>
    <w:rsid w:val="002E2299"/>
    <w:rsid w:val="002E23F0"/>
    <w:rsid w:val="002E31F1"/>
    <w:rsid w:val="002E3F8B"/>
    <w:rsid w:val="002E4A87"/>
    <w:rsid w:val="002E51C3"/>
    <w:rsid w:val="002E5E5C"/>
    <w:rsid w:val="002E7449"/>
    <w:rsid w:val="002F00DF"/>
    <w:rsid w:val="002F014E"/>
    <w:rsid w:val="002F01C8"/>
    <w:rsid w:val="002F10F5"/>
    <w:rsid w:val="002F1951"/>
    <w:rsid w:val="002F2325"/>
    <w:rsid w:val="002F2A99"/>
    <w:rsid w:val="002F4B6B"/>
    <w:rsid w:val="002F4DD6"/>
    <w:rsid w:val="002F5E92"/>
    <w:rsid w:val="002F6BBC"/>
    <w:rsid w:val="002F6D08"/>
    <w:rsid w:val="002F7F26"/>
    <w:rsid w:val="003000FA"/>
    <w:rsid w:val="003001D2"/>
    <w:rsid w:val="003006A0"/>
    <w:rsid w:val="00300BD6"/>
    <w:rsid w:val="00300E3C"/>
    <w:rsid w:val="00302349"/>
    <w:rsid w:val="00302FD7"/>
    <w:rsid w:val="00303E87"/>
    <w:rsid w:val="0030429E"/>
    <w:rsid w:val="003046A3"/>
    <w:rsid w:val="0030489A"/>
    <w:rsid w:val="00304B58"/>
    <w:rsid w:val="003057F8"/>
    <w:rsid w:val="00305D91"/>
    <w:rsid w:val="00305ECB"/>
    <w:rsid w:val="00306470"/>
    <w:rsid w:val="00307072"/>
    <w:rsid w:val="003074A3"/>
    <w:rsid w:val="00307B5F"/>
    <w:rsid w:val="003104FA"/>
    <w:rsid w:val="0031091B"/>
    <w:rsid w:val="00310DE0"/>
    <w:rsid w:val="00311201"/>
    <w:rsid w:val="00311533"/>
    <w:rsid w:val="00312104"/>
    <w:rsid w:val="003121C3"/>
    <w:rsid w:val="0031265C"/>
    <w:rsid w:val="00312AC0"/>
    <w:rsid w:val="003131C2"/>
    <w:rsid w:val="00313367"/>
    <w:rsid w:val="0031366A"/>
    <w:rsid w:val="00313DC5"/>
    <w:rsid w:val="00314674"/>
    <w:rsid w:val="00314E68"/>
    <w:rsid w:val="00314F2B"/>
    <w:rsid w:val="00315336"/>
    <w:rsid w:val="0031570F"/>
    <w:rsid w:val="0031589E"/>
    <w:rsid w:val="00315A9D"/>
    <w:rsid w:val="00315FC4"/>
    <w:rsid w:val="0031661F"/>
    <w:rsid w:val="00316BB2"/>
    <w:rsid w:val="00317E44"/>
    <w:rsid w:val="003200D3"/>
    <w:rsid w:val="0032013F"/>
    <w:rsid w:val="00321558"/>
    <w:rsid w:val="003219DC"/>
    <w:rsid w:val="00321CB2"/>
    <w:rsid w:val="00322287"/>
    <w:rsid w:val="00322980"/>
    <w:rsid w:val="0032359B"/>
    <w:rsid w:val="00323E8A"/>
    <w:rsid w:val="00324933"/>
    <w:rsid w:val="00324A80"/>
    <w:rsid w:val="00324EE5"/>
    <w:rsid w:val="00325770"/>
    <w:rsid w:val="00325E69"/>
    <w:rsid w:val="00325F98"/>
    <w:rsid w:val="00325FF8"/>
    <w:rsid w:val="003269AA"/>
    <w:rsid w:val="00327C6A"/>
    <w:rsid w:val="00327E91"/>
    <w:rsid w:val="00327F21"/>
    <w:rsid w:val="0033007D"/>
    <w:rsid w:val="003303B9"/>
    <w:rsid w:val="003308D2"/>
    <w:rsid w:val="00330DD3"/>
    <w:rsid w:val="00331AC4"/>
    <w:rsid w:val="00331FB7"/>
    <w:rsid w:val="003336B4"/>
    <w:rsid w:val="003340AC"/>
    <w:rsid w:val="0033426F"/>
    <w:rsid w:val="00334FF7"/>
    <w:rsid w:val="00335101"/>
    <w:rsid w:val="003358EB"/>
    <w:rsid w:val="00335E13"/>
    <w:rsid w:val="0033628A"/>
    <w:rsid w:val="0034024C"/>
    <w:rsid w:val="00340B67"/>
    <w:rsid w:val="00340D5D"/>
    <w:rsid w:val="003410ED"/>
    <w:rsid w:val="0034203A"/>
    <w:rsid w:val="00342176"/>
    <w:rsid w:val="0034217C"/>
    <w:rsid w:val="00342937"/>
    <w:rsid w:val="00342BFC"/>
    <w:rsid w:val="0034387A"/>
    <w:rsid w:val="00343CFB"/>
    <w:rsid w:val="00343E0A"/>
    <w:rsid w:val="00344366"/>
    <w:rsid w:val="003451D7"/>
    <w:rsid w:val="003456FC"/>
    <w:rsid w:val="003458CD"/>
    <w:rsid w:val="00345EE6"/>
    <w:rsid w:val="00346104"/>
    <w:rsid w:val="0034663D"/>
    <w:rsid w:val="00346956"/>
    <w:rsid w:val="00347036"/>
    <w:rsid w:val="00347067"/>
    <w:rsid w:val="00347BB9"/>
    <w:rsid w:val="00350209"/>
    <w:rsid w:val="00350872"/>
    <w:rsid w:val="00350AAD"/>
    <w:rsid w:val="00350BCA"/>
    <w:rsid w:val="00352C62"/>
    <w:rsid w:val="00352E0F"/>
    <w:rsid w:val="00352FD9"/>
    <w:rsid w:val="003531F8"/>
    <w:rsid w:val="0035354A"/>
    <w:rsid w:val="0035394C"/>
    <w:rsid w:val="00353E75"/>
    <w:rsid w:val="003542C8"/>
    <w:rsid w:val="00354BD3"/>
    <w:rsid w:val="0035635C"/>
    <w:rsid w:val="00356706"/>
    <w:rsid w:val="00356909"/>
    <w:rsid w:val="003569D1"/>
    <w:rsid w:val="00357953"/>
    <w:rsid w:val="00357F47"/>
    <w:rsid w:val="00360328"/>
    <w:rsid w:val="0036077F"/>
    <w:rsid w:val="003608AA"/>
    <w:rsid w:val="0036173F"/>
    <w:rsid w:val="003617EF"/>
    <w:rsid w:val="00361EC3"/>
    <w:rsid w:val="00362546"/>
    <w:rsid w:val="00362AC0"/>
    <w:rsid w:val="00362E5F"/>
    <w:rsid w:val="00363540"/>
    <w:rsid w:val="003637F8"/>
    <w:rsid w:val="00363DAE"/>
    <w:rsid w:val="00363F78"/>
    <w:rsid w:val="00364673"/>
    <w:rsid w:val="00364FC1"/>
    <w:rsid w:val="003652BD"/>
    <w:rsid w:val="00365326"/>
    <w:rsid w:val="00365CE0"/>
    <w:rsid w:val="00365DDD"/>
    <w:rsid w:val="003678BA"/>
    <w:rsid w:val="00367F3F"/>
    <w:rsid w:val="003706E9"/>
    <w:rsid w:val="0037089F"/>
    <w:rsid w:val="003715AE"/>
    <w:rsid w:val="00371DDB"/>
    <w:rsid w:val="0037210E"/>
    <w:rsid w:val="00372A6F"/>
    <w:rsid w:val="00372AED"/>
    <w:rsid w:val="00372B6E"/>
    <w:rsid w:val="0037313A"/>
    <w:rsid w:val="003737B6"/>
    <w:rsid w:val="00373D2F"/>
    <w:rsid w:val="0037400D"/>
    <w:rsid w:val="003740E1"/>
    <w:rsid w:val="00374133"/>
    <w:rsid w:val="00374532"/>
    <w:rsid w:val="00374FFE"/>
    <w:rsid w:val="0037526C"/>
    <w:rsid w:val="003754EC"/>
    <w:rsid w:val="003759F5"/>
    <w:rsid w:val="0037629A"/>
    <w:rsid w:val="00377066"/>
    <w:rsid w:val="0037772C"/>
    <w:rsid w:val="0037773E"/>
    <w:rsid w:val="00377FC4"/>
    <w:rsid w:val="003811CE"/>
    <w:rsid w:val="003814A5"/>
    <w:rsid w:val="00381B9F"/>
    <w:rsid w:val="00381DB9"/>
    <w:rsid w:val="00382356"/>
    <w:rsid w:val="00383030"/>
    <w:rsid w:val="003835A3"/>
    <w:rsid w:val="003847A3"/>
    <w:rsid w:val="003852A3"/>
    <w:rsid w:val="00385370"/>
    <w:rsid w:val="00385D36"/>
    <w:rsid w:val="00385F52"/>
    <w:rsid w:val="00386F38"/>
    <w:rsid w:val="003871D6"/>
    <w:rsid w:val="003871DF"/>
    <w:rsid w:val="0039029E"/>
    <w:rsid w:val="003903B0"/>
    <w:rsid w:val="00390E6A"/>
    <w:rsid w:val="00390FE4"/>
    <w:rsid w:val="00391106"/>
    <w:rsid w:val="0039124D"/>
    <w:rsid w:val="003919E9"/>
    <w:rsid w:val="00391D48"/>
    <w:rsid w:val="00392346"/>
    <w:rsid w:val="00392937"/>
    <w:rsid w:val="00393983"/>
    <w:rsid w:val="00393F24"/>
    <w:rsid w:val="003947AA"/>
    <w:rsid w:val="00394A6D"/>
    <w:rsid w:val="00394B9B"/>
    <w:rsid w:val="00395F79"/>
    <w:rsid w:val="00396809"/>
    <w:rsid w:val="00396A61"/>
    <w:rsid w:val="00396D9E"/>
    <w:rsid w:val="003971F4"/>
    <w:rsid w:val="003977DE"/>
    <w:rsid w:val="00397DAA"/>
    <w:rsid w:val="003A00CB"/>
    <w:rsid w:val="003A048D"/>
    <w:rsid w:val="003A0A0A"/>
    <w:rsid w:val="003A0B9B"/>
    <w:rsid w:val="003A0C1B"/>
    <w:rsid w:val="003A289D"/>
    <w:rsid w:val="003A33BD"/>
    <w:rsid w:val="003A3672"/>
    <w:rsid w:val="003A40AC"/>
    <w:rsid w:val="003A4372"/>
    <w:rsid w:val="003A4655"/>
    <w:rsid w:val="003A4690"/>
    <w:rsid w:val="003A49DC"/>
    <w:rsid w:val="003A52B4"/>
    <w:rsid w:val="003A540F"/>
    <w:rsid w:val="003A5F70"/>
    <w:rsid w:val="003A689D"/>
    <w:rsid w:val="003A6EBA"/>
    <w:rsid w:val="003B03B7"/>
    <w:rsid w:val="003B1D0B"/>
    <w:rsid w:val="003B1E85"/>
    <w:rsid w:val="003B1EE1"/>
    <w:rsid w:val="003B2293"/>
    <w:rsid w:val="003B2C3E"/>
    <w:rsid w:val="003B2DDF"/>
    <w:rsid w:val="003B3492"/>
    <w:rsid w:val="003B3A98"/>
    <w:rsid w:val="003B3C1E"/>
    <w:rsid w:val="003B3F28"/>
    <w:rsid w:val="003B407F"/>
    <w:rsid w:val="003B4ADB"/>
    <w:rsid w:val="003B4AE1"/>
    <w:rsid w:val="003B4EBC"/>
    <w:rsid w:val="003B5AB0"/>
    <w:rsid w:val="003B620C"/>
    <w:rsid w:val="003B688F"/>
    <w:rsid w:val="003B6B65"/>
    <w:rsid w:val="003B7421"/>
    <w:rsid w:val="003B7773"/>
    <w:rsid w:val="003B7A04"/>
    <w:rsid w:val="003C005A"/>
    <w:rsid w:val="003C065A"/>
    <w:rsid w:val="003C09F8"/>
    <w:rsid w:val="003C0EE3"/>
    <w:rsid w:val="003C1161"/>
    <w:rsid w:val="003C147B"/>
    <w:rsid w:val="003C14BB"/>
    <w:rsid w:val="003C1602"/>
    <w:rsid w:val="003C1FA9"/>
    <w:rsid w:val="003C2374"/>
    <w:rsid w:val="003C2F18"/>
    <w:rsid w:val="003C3D1D"/>
    <w:rsid w:val="003C3E48"/>
    <w:rsid w:val="003C57CD"/>
    <w:rsid w:val="003C5A09"/>
    <w:rsid w:val="003C60BB"/>
    <w:rsid w:val="003C6771"/>
    <w:rsid w:val="003C732C"/>
    <w:rsid w:val="003C73EA"/>
    <w:rsid w:val="003C7573"/>
    <w:rsid w:val="003C7D4C"/>
    <w:rsid w:val="003C7E75"/>
    <w:rsid w:val="003D07F3"/>
    <w:rsid w:val="003D08B0"/>
    <w:rsid w:val="003D0BD4"/>
    <w:rsid w:val="003D2355"/>
    <w:rsid w:val="003D2835"/>
    <w:rsid w:val="003D3056"/>
    <w:rsid w:val="003D31C4"/>
    <w:rsid w:val="003D3B54"/>
    <w:rsid w:val="003D455B"/>
    <w:rsid w:val="003D45E6"/>
    <w:rsid w:val="003D46B0"/>
    <w:rsid w:val="003D4729"/>
    <w:rsid w:val="003D4E50"/>
    <w:rsid w:val="003D5B1D"/>
    <w:rsid w:val="003D6113"/>
    <w:rsid w:val="003D6547"/>
    <w:rsid w:val="003D76ED"/>
    <w:rsid w:val="003D7DDB"/>
    <w:rsid w:val="003E00A3"/>
    <w:rsid w:val="003E070D"/>
    <w:rsid w:val="003E0843"/>
    <w:rsid w:val="003E14AA"/>
    <w:rsid w:val="003E19DF"/>
    <w:rsid w:val="003E21D8"/>
    <w:rsid w:val="003E2B6C"/>
    <w:rsid w:val="003E3A2E"/>
    <w:rsid w:val="003E3F47"/>
    <w:rsid w:val="003E40EB"/>
    <w:rsid w:val="003E4360"/>
    <w:rsid w:val="003E4524"/>
    <w:rsid w:val="003E4BAD"/>
    <w:rsid w:val="003E54B7"/>
    <w:rsid w:val="003E5C4C"/>
    <w:rsid w:val="003E63D0"/>
    <w:rsid w:val="003E6704"/>
    <w:rsid w:val="003E6BB7"/>
    <w:rsid w:val="003E70BF"/>
    <w:rsid w:val="003E77F1"/>
    <w:rsid w:val="003E79DE"/>
    <w:rsid w:val="003F185A"/>
    <w:rsid w:val="003F26A0"/>
    <w:rsid w:val="003F2827"/>
    <w:rsid w:val="003F302F"/>
    <w:rsid w:val="003F313D"/>
    <w:rsid w:val="003F346F"/>
    <w:rsid w:val="003F3DA7"/>
    <w:rsid w:val="003F3F7E"/>
    <w:rsid w:val="003F45A2"/>
    <w:rsid w:val="003F46D5"/>
    <w:rsid w:val="003F55DF"/>
    <w:rsid w:val="003F5B90"/>
    <w:rsid w:val="003F5FA1"/>
    <w:rsid w:val="003F6A83"/>
    <w:rsid w:val="003F766F"/>
    <w:rsid w:val="004010D4"/>
    <w:rsid w:val="00401523"/>
    <w:rsid w:val="00401631"/>
    <w:rsid w:val="00401F43"/>
    <w:rsid w:val="00402038"/>
    <w:rsid w:val="00402362"/>
    <w:rsid w:val="0040238B"/>
    <w:rsid w:val="00402D45"/>
    <w:rsid w:val="004036D0"/>
    <w:rsid w:val="0040377C"/>
    <w:rsid w:val="00406005"/>
    <w:rsid w:val="00406396"/>
    <w:rsid w:val="00406CF5"/>
    <w:rsid w:val="00406DEA"/>
    <w:rsid w:val="00407391"/>
    <w:rsid w:val="00410100"/>
    <w:rsid w:val="00410212"/>
    <w:rsid w:val="00410EEB"/>
    <w:rsid w:val="004126E0"/>
    <w:rsid w:val="004129AC"/>
    <w:rsid w:val="00413662"/>
    <w:rsid w:val="004136EC"/>
    <w:rsid w:val="004141B0"/>
    <w:rsid w:val="004142E0"/>
    <w:rsid w:val="00414785"/>
    <w:rsid w:val="00414CCB"/>
    <w:rsid w:val="00415106"/>
    <w:rsid w:val="0041585F"/>
    <w:rsid w:val="0041599C"/>
    <w:rsid w:val="0041604C"/>
    <w:rsid w:val="004161B1"/>
    <w:rsid w:val="0041662F"/>
    <w:rsid w:val="004166D1"/>
    <w:rsid w:val="00416AAF"/>
    <w:rsid w:val="0041704F"/>
    <w:rsid w:val="0041716D"/>
    <w:rsid w:val="00417575"/>
    <w:rsid w:val="00417F54"/>
    <w:rsid w:val="00421404"/>
    <w:rsid w:val="004216FB"/>
    <w:rsid w:val="004232EE"/>
    <w:rsid w:val="00424252"/>
    <w:rsid w:val="00424903"/>
    <w:rsid w:val="00424CE3"/>
    <w:rsid w:val="00424F3E"/>
    <w:rsid w:val="004250A9"/>
    <w:rsid w:val="00425B9D"/>
    <w:rsid w:val="004263F6"/>
    <w:rsid w:val="00426F17"/>
    <w:rsid w:val="004271C5"/>
    <w:rsid w:val="00427789"/>
    <w:rsid w:val="00427BF7"/>
    <w:rsid w:val="00427DD5"/>
    <w:rsid w:val="00430E31"/>
    <w:rsid w:val="00431616"/>
    <w:rsid w:val="004319CC"/>
    <w:rsid w:val="00431D19"/>
    <w:rsid w:val="00431E29"/>
    <w:rsid w:val="0043253E"/>
    <w:rsid w:val="00433ADF"/>
    <w:rsid w:val="00433E5A"/>
    <w:rsid w:val="00434454"/>
    <w:rsid w:val="00435849"/>
    <w:rsid w:val="0043615D"/>
    <w:rsid w:val="00436163"/>
    <w:rsid w:val="004361E5"/>
    <w:rsid w:val="00437DF3"/>
    <w:rsid w:val="0044138F"/>
    <w:rsid w:val="00441603"/>
    <w:rsid w:val="00441B21"/>
    <w:rsid w:val="00441BDD"/>
    <w:rsid w:val="00441EC3"/>
    <w:rsid w:val="0044266D"/>
    <w:rsid w:val="00443173"/>
    <w:rsid w:val="00443584"/>
    <w:rsid w:val="00443868"/>
    <w:rsid w:val="00443BD6"/>
    <w:rsid w:val="00443EBA"/>
    <w:rsid w:val="0044542F"/>
    <w:rsid w:val="0044580B"/>
    <w:rsid w:val="004458E9"/>
    <w:rsid w:val="004460D0"/>
    <w:rsid w:val="004465E7"/>
    <w:rsid w:val="00446FBF"/>
    <w:rsid w:val="00447E61"/>
    <w:rsid w:val="004505DE"/>
    <w:rsid w:val="0045160C"/>
    <w:rsid w:val="00451F69"/>
    <w:rsid w:val="00452CE4"/>
    <w:rsid w:val="004538FE"/>
    <w:rsid w:val="00454D15"/>
    <w:rsid w:val="00454EBE"/>
    <w:rsid w:val="00454F91"/>
    <w:rsid w:val="004552A3"/>
    <w:rsid w:val="0045628E"/>
    <w:rsid w:val="00456672"/>
    <w:rsid w:val="00456ECA"/>
    <w:rsid w:val="004572D7"/>
    <w:rsid w:val="00460E41"/>
    <w:rsid w:val="00460F5D"/>
    <w:rsid w:val="004619EC"/>
    <w:rsid w:val="00461B70"/>
    <w:rsid w:val="00461BFD"/>
    <w:rsid w:val="004642CC"/>
    <w:rsid w:val="0046490A"/>
    <w:rsid w:val="00464E96"/>
    <w:rsid w:val="004650E1"/>
    <w:rsid w:val="004655F9"/>
    <w:rsid w:val="00467516"/>
    <w:rsid w:val="00470818"/>
    <w:rsid w:val="00470A2D"/>
    <w:rsid w:val="00471420"/>
    <w:rsid w:val="004714EF"/>
    <w:rsid w:val="004718DE"/>
    <w:rsid w:val="00471C5B"/>
    <w:rsid w:val="00472C54"/>
    <w:rsid w:val="00473288"/>
    <w:rsid w:val="0047336D"/>
    <w:rsid w:val="004739BC"/>
    <w:rsid w:val="004740BF"/>
    <w:rsid w:val="004744B6"/>
    <w:rsid w:val="004747FC"/>
    <w:rsid w:val="00474875"/>
    <w:rsid w:val="00474E09"/>
    <w:rsid w:val="00474E40"/>
    <w:rsid w:val="00474ED3"/>
    <w:rsid w:val="0047548F"/>
    <w:rsid w:val="00475928"/>
    <w:rsid w:val="00475ED4"/>
    <w:rsid w:val="00477D64"/>
    <w:rsid w:val="00477EBD"/>
    <w:rsid w:val="00480266"/>
    <w:rsid w:val="004808EB"/>
    <w:rsid w:val="004812D8"/>
    <w:rsid w:val="0048144A"/>
    <w:rsid w:val="00481A5F"/>
    <w:rsid w:val="00481ACB"/>
    <w:rsid w:val="00481CEE"/>
    <w:rsid w:val="00481EF5"/>
    <w:rsid w:val="0048231F"/>
    <w:rsid w:val="0048265E"/>
    <w:rsid w:val="004827F5"/>
    <w:rsid w:val="00482A85"/>
    <w:rsid w:val="00483CE8"/>
    <w:rsid w:val="004843B6"/>
    <w:rsid w:val="0048470A"/>
    <w:rsid w:val="00484724"/>
    <w:rsid w:val="004849DD"/>
    <w:rsid w:val="004860D5"/>
    <w:rsid w:val="0048620D"/>
    <w:rsid w:val="00486E6C"/>
    <w:rsid w:val="00487092"/>
    <w:rsid w:val="004872B3"/>
    <w:rsid w:val="00487492"/>
    <w:rsid w:val="0048758A"/>
    <w:rsid w:val="0048767B"/>
    <w:rsid w:val="00487FFC"/>
    <w:rsid w:val="0049021C"/>
    <w:rsid w:val="00490BDF"/>
    <w:rsid w:val="00490E44"/>
    <w:rsid w:val="00490EA2"/>
    <w:rsid w:val="004919AE"/>
    <w:rsid w:val="00491D8E"/>
    <w:rsid w:val="00492AFC"/>
    <w:rsid w:val="00493039"/>
    <w:rsid w:val="00493C18"/>
    <w:rsid w:val="00493F73"/>
    <w:rsid w:val="004944D5"/>
    <w:rsid w:val="004945CE"/>
    <w:rsid w:val="004945E6"/>
    <w:rsid w:val="004953BA"/>
    <w:rsid w:val="00495D8B"/>
    <w:rsid w:val="00495E7A"/>
    <w:rsid w:val="00495F81"/>
    <w:rsid w:val="004965E4"/>
    <w:rsid w:val="0049660E"/>
    <w:rsid w:val="00496BFE"/>
    <w:rsid w:val="00497617"/>
    <w:rsid w:val="0049775F"/>
    <w:rsid w:val="004A05AB"/>
    <w:rsid w:val="004A079A"/>
    <w:rsid w:val="004A08CA"/>
    <w:rsid w:val="004A130D"/>
    <w:rsid w:val="004A16A9"/>
    <w:rsid w:val="004A1F9F"/>
    <w:rsid w:val="004A2204"/>
    <w:rsid w:val="004A22DC"/>
    <w:rsid w:val="004A355B"/>
    <w:rsid w:val="004A35F5"/>
    <w:rsid w:val="004A3692"/>
    <w:rsid w:val="004A3961"/>
    <w:rsid w:val="004A3C21"/>
    <w:rsid w:val="004A48A2"/>
    <w:rsid w:val="004A48F6"/>
    <w:rsid w:val="004A5842"/>
    <w:rsid w:val="004A5999"/>
    <w:rsid w:val="004A5C3A"/>
    <w:rsid w:val="004A62C6"/>
    <w:rsid w:val="004A6F63"/>
    <w:rsid w:val="004A7092"/>
    <w:rsid w:val="004A718E"/>
    <w:rsid w:val="004A782D"/>
    <w:rsid w:val="004B0007"/>
    <w:rsid w:val="004B0125"/>
    <w:rsid w:val="004B0320"/>
    <w:rsid w:val="004B04EE"/>
    <w:rsid w:val="004B05B2"/>
    <w:rsid w:val="004B07E6"/>
    <w:rsid w:val="004B1018"/>
    <w:rsid w:val="004B2C11"/>
    <w:rsid w:val="004B423A"/>
    <w:rsid w:val="004B44B4"/>
    <w:rsid w:val="004B4A7C"/>
    <w:rsid w:val="004B53A8"/>
    <w:rsid w:val="004B55D4"/>
    <w:rsid w:val="004B5894"/>
    <w:rsid w:val="004B595A"/>
    <w:rsid w:val="004B5B1F"/>
    <w:rsid w:val="004B5B59"/>
    <w:rsid w:val="004B5BF6"/>
    <w:rsid w:val="004B610A"/>
    <w:rsid w:val="004B62D5"/>
    <w:rsid w:val="004B67D1"/>
    <w:rsid w:val="004B6826"/>
    <w:rsid w:val="004B6860"/>
    <w:rsid w:val="004B7009"/>
    <w:rsid w:val="004B74B4"/>
    <w:rsid w:val="004B7803"/>
    <w:rsid w:val="004C0140"/>
    <w:rsid w:val="004C0373"/>
    <w:rsid w:val="004C1123"/>
    <w:rsid w:val="004C1140"/>
    <w:rsid w:val="004C1488"/>
    <w:rsid w:val="004C1544"/>
    <w:rsid w:val="004C165A"/>
    <w:rsid w:val="004C1A7E"/>
    <w:rsid w:val="004C1B1A"/>
    <w:rsid w:val="004C1B50"/>
    <w:rsid w:val="004C1C07"/>
    <w:rsid w:val="004C1EF6"/>
    <w:rsid w:val="004C1F81"/>
    <w:rsid w:val="004C272B"/>
    <w:rsid w:val="004C27F6"/>
    <w:rsid w:val="004C2D3A"/>
    <w:rsid w:val="004C2F75"/>
    <w:rsid w:val="004C362C"/>
    <w:rsid w:val="004C37BE"/>
    <w:rsid w:val="004C3EAB"/>
    <w:rsid w:val="004C41E3"/>
    <w:rsid w:val="004C47D2"/>
    <w:rsid w:val="004C4E05"/>
    <w:rsid w:val="004C510F"/>
    <w:rsid w:val="004C734E"/>
    <w:rsid w:val="004C74D1"/>
    <w:rsid w:val="004C7DBF"/>
    <w:rsid w:val="004D045F"/>
    <w:rsid w:val="004D0696"/>
    <w:rsid w:val="004D0DFA"/>
    <w:rsid w:val="004D14BF"/>
    <w:rsid w:val="004D163A"/>
    <w:rsid w:val="004D1C47"/>
    <w:rsid w:val="004D2489"/>
    <w:rsid w:val="004D2940"/>
    <w:rsid w:val="004D30B4"/>
    <w:rsid w:val="004D38E1"/>
    <w:rsid w:val="004D3962"/>
    <w:rsid w:val="004D42D7"/>
    <w:rsid w:val="004D48A4"/>
    <w:rsid w:val="004D4C29"/>
    <w:rsid w:val="004D59F2"/>
    <w:rsid w:val="004D61F3"/>
    <w:rsid w:val="004D6CCD"/>
    <w:rsid w:val="004D6E83"/>
    <w:rsid w:val="004D6EBB"/>
    <w:rsid w:val="004D6FC4"/>
    <w:rsid w:val="004D72B8"/>
    <w:rsid w:val="004D78FE"/>
    <w:rsid w:val="004D7F3E"/>
    <w:rsid w:val="004E0D48"/>
    <w:rsid w:val="004E0D7F"/>
    <w:rsid w:val="004E10E4"/>
    <w:rsid w:val="004E1260"/>
    <w:rsid w:val="004E329B"/>
    <w:rsid w:val="004E3531"/>
    <w:rsid w:val="004E35B5"/>
    <w:rsid w:val="004E3914"/>
    <w:rsid w:val="004E3927"/>
    <w:rsid w:val="004E41BC"/>
    <w:rsid w:val="004E4D76"/>
    <w:rsid w:val="004E5A4A"/>
    <w:rsid w:val="004E5CB4"/>
    <w:rsid w:val="004E5DA9"/>
    <w:rsid w:val="004E621D"/>
    <w:rsid w:val="004E651F"/>
    <w:rsid w:val="004E6A5B"/>
    <w:rsid w:val="004E6FBA"/>
    <w:rsid w:val="004E739E"/>
    <w:rsid w:val="004E7C74"/>
    <w:rsid w:val="004F110D"/>
    <w:rsid w:val="004F170B"/>
    <w:rsid w:val="004F1892"/>
    <w:rsid w:val="004F1B1A"/>
    <w:rsid w:val="004F1C64"/>
    <w:rsid w:val="004F2942"/>
    <w:rsid w:val="004F29F8"/>
    <w:rsid w:val="004F2DDC"/>
    <w:rsid w:val="004F3AE8"/>
    <w:rsid w:val="004F3D3E"/>
    <w:rsid w:val="004F41E4"/>
    <w:rsid w:val="004F43CF"/>
    <w:rsid w:val="004F473B"/>
    <w:rsid w:val="004F4CC7"/>
    <w:rsid w:val="004F4EFC"/>
    <w:rsid w:val="004F5C2C"/>
    <w:rsid w:val="004F5CE4"/>
    <w:rsid w:val="004F65D7"/>
    <w:rsid w:val="004F673A"/>
    <w:rsid w:val="004F67BD"/>
    <w:rsid w:val="004F77E2"/>
    <w:rsid w:val="004F7BAC"/>
    <w:rsid w:val="00500129"/>
    <w:rsid w:val="00500745"/>
    <w:rsid w:val="00500777"/>
    <w:rsid w:val="005012DF"/>
    <w:rsid w:val="00501D46"/>
    <w:rsid w:val="005029D0"/>
    <w:rsid w:val="0050304D"/>
    <w:rsid w:val="00503C70"/>
    <w:rsid w:val="0050415B"/>
    <w:rsid w:val="0050440F"/>
    <w:rsid w:val="00504439"/>
    <w:rsid w:val="005047BE"/>
    <w:rsid w:val="0050488E"/>
    <w:rsid w:val="00506471"/>
    <w:rsid w:val="005069A7"/>
    <w:rsid w:val="00506C26"/>
    <w:rsid w:val="00507060"/>
    <w:rsid w:val="0050718C"/>
    <w:rsid w:val="005075D0"/>
    <w:rsid w:val="005076AC"/>
    <w:rsid w:val="00507948"/>
    <w:rsid w:val="00510201"/>
    <w:rsid w:val="005106C7"/>
    <w:rsid w:val="00510D3B"/>
    <w:rsid w:val="00511455"/>
    <w:rsid w:val="00511A29"/>
    <w:rsid w:val="005124BF"/>
    <w:rsid w:val="0051258A"/>
    <w:rsid w:val="00513006"/>
    <w:rsid w:val="00513394"/>
    <w:rsid w:val="0051362B"/>
    <w:rsid w:val="00513EE5"/>
    <w:rsid w:val="00514321"/>
    <w:rsid w:val="0051434B"/>
    <w:rsid w:val="005153CC"/>
    <w:rsid w:val="005162AD"/>
    <w:rsid w:val="00516E36"/>
    <w:rsid w:val="005170BB"/>
    <w:rsid w:val="00517532"/>
    <w:rsid w:val="00520104"/>
    <w:rsid w:val="0052077A"/>
    <w:rsid w:val="00520E00"/>
    <w:rsid w:val="00522886"/>
    <w:rsid w:val="005230D6"/>
    <w:rsid w:val="00523166"/>
    <w:rsid w:val="00523A8F"/>
    <w:rsid w:val="00524D6B"/>
    <w:rsid w:val="0052545F"/>
    <w:rsid w:val="005254BF"/>
    <w:rsid w:val="0052592E"/>
    <w:rsid w:val="00525BBD"/>
    <w:rsid w:val="00525E2E"/>
    <w:rsid w:val="00526235"/>
    <w:rsid w:val="0052698E"/>
    <w:rsid w:val="005269F6"/>
    <w:rsid w:val="00527231"/>
    <w:rsid w:val="00532859"/>
    <w:rsid w:val="00532950"/>
    <w:rsid w:val="0053359D"/>
    <w:rsid w:val="0053395A"/>
    <w:rsid w:val="00534045"/>
    <w:rsid w:val="00534159"/>
    <w:rsid w:val="005341D1"/>
    <w:rsid w:val="00534A70"/>
    <w:rsid w:val="00534ED8"/>
    <w:rsid w:val="00535735"/>
    <w:rsid w:val="00535F61"/>
    <w:rsid w:val="0053629C"/>
    <w:rsid w:val="00537362"/>
    <w:rsid w:val="00540025"/>
    <w:rsid w:val="005401E9"/>
    <w:rsid w:val="0054022C"/>
    <w:rsid w:val="00540276"/>
    <w:rsid w:val="0054106D"/>
    <w:rsid w:val="00542240"/>
    <w:rsid w:val="00542842"/>
    <w:rsid w:val="00542868"/>
    <w:rsid w:val="005428CF"/>
    <w:rsid w:val="00542997"/>
    <w:rsid w:val="005437D1"/>
    <w:rsid w:val="005448D4"/>
    <w:rsid w:val="00544F19"/>
    <w:rsid w:val="00545A63"/>
    <w:rsid w:val="00545F85"/>
    <w:rsid w:val="005461D6"/>
    <w:rsid w:val="00546B5D"/>
    <w:rsid w:val="005473AA"/>
    <w:rsid w:val="00547419"/>
    <w:rsid w:val="005478A3"/>
    <w:rsid w:val="00547A89"/>
    <w:rsid w:val="005508CB"/>
    <w:rsid w:val="005509D1"/>
    <w:rsid w:val="00551230"/>
    <w:rsid w:val="00551A6E"/>
    <w:rsid w:val="00552128"/>
    <w:rsid w:val="0055259A"/>
    <w:rsid w:val="00553582"/>
    <w:rsid w:val="00553AC9"/>
    <w:rsid w:val="00553C35"/>
    <w:rsid w:val="00554854"/>
    <w:rsid w:val="0055736E"/>
    <w:rsid w:val="0055762E"/>
    <w:rsid w:val="005576E7"/>
    <w:rsid w:val="00557D4C"/>
    <w:rsid w:val="005610F6"/>
    <w:rsid w:val="005628F6"/>
    <w:rsid w:val="00562B17"/>
    <w:rsid w:val="00563023"/>
    <w:rsid w:val="00563E5E"/>
    <w:rsid w:val="00563FFB"/>
    <w:rsid w:val="0056414C"/>
    <w:rsid w:val="00564501"/>
    <w:rsid w:val="0056518F"/>
    <w:rsid w:val="0056521D"/>
    <w:rsid w:val="005653EE"/>
    <w:rsid w:val="00565DE3"/>
    <w:rsid w:val="005663D0"/>
    <w:rsid w:val="005665CC"/>
    <w:rsid w:val="00566D0B"/>
    <w:rsid w:val="00567749"/>
    <w:rsid w:val="00567765"/>
    <w:rsid w:val="00567B91"/>
    <w:rsid w:val="00570EA3"/>
    <w:rsid w:val="0057166D"/>
    <w:rsid w:val="005719AB"/>
    <w:rsid w:val="00571E13"/>
    <w:rsid w:val="00572020"/>
    <w:rsid w:val="00572D4D"/>
    <w:rsid w:val="00574BC6"/>
    <w:rsid w:val="00574E7F"/>
    <w:rsid w:val="00575887"/>
    <w:rsid w:val="005759E3"/>
    <w:rsid w:val="00575BAC"/>
    <w:rsid w:val="00575D3E"/>
    <w:rsid w:val="00575EB9"/>
    <w:rsid w:val="00576773"/>
    <w:rsid w:val="00577AAE"/>
    <w:rsid w:val="00577BDF"/>
    <w:rsid w:val="00577D2B"/>
    <w:rsid w:val="0058031E"/>
    <w:rsid w:val="005805F0"/>
    <w:rsid w:val="00580A28"/>
    <w:rsid w:val="00580C32"/>
    <w:rsid w:val="00581480"/>
    <w:rsid w:val="00581E01"/>
    <w:rsid w:val="00581F63"/>
    <w:rsid w:val="00582803"/>
    <w:rsid w:val="00582B5A"/>
    <w:rsid w:val="00582D08"/>
    <w:rsid w:val="00584584"/>
    <w:rsid w:val="00584F5A"/>
    <w:rsid w:val="005850C2"/>
    <w:rsid w:val="0058544A"/>
    <w:rsid w:val="00585704"/>
    <w:rsid w:val="00585810"/>
    <w:rsid w:val="00585AA9"/>
    <w:rsid w:val="0058771F"/>
    <w:rsid w:val="005878AB"/>
    <w:rsid w:val="005878B0"/>
    <w:rsid w:val="00587B5C"/>
    <w:rsid w:val="00587F6B"/>
    <w:rsid w:val="005900D7"/>
    <w:rsid w:val="005902E6"/>
    <w:rsid w:val="005904E5"/>
    <w:rsid w:val="00590B5C"/>
    <w:rsid w:val="00590E54"/>
    <w:rsid w:val="00592169"/>
    <w:rsid w:val="00592D49"/>
    <w:rsid w:val="005944FA"/>
    <w:rsid w:val="00594D4F"/>
    <w:rsid w:val="005956A2"/>
    <w:rsid w:val="00595C85"/>
    <w:rsid w:val="00596D01"/>
    <w:rsid w:val="00596D97"/>
    <w:rsid w:val="00596F25"/>
    <w:rsid w:val="0059748B"/>
    <w:rsid w:val="00597855"/>
    <w:rsid w:val="00597C55"/>
    <w:rsid w:val="00597D95"/>
    <w:rsid w:val="005A02D7"/>
    <w:rsid w:val="005A0606"/>
    <w:rsid w:val="005A0DBB"/>
    <w:rsid w:val="005A0E1F"/>
    <w:rsid w:val="005A30A4"/>
    <w:rsid w:val="005A3B6D"/>
    <w:rsid w:val="005A3DF4"/>
    <w:rsid w:val="005A3F2F"/>
    <w:rsid w:val="005A57A8"/>
    <w:rsid w:val="005A5ABF"/>
    <w:rsid w:val="005A6A76"/>
    <w:rsid w:val="005A7BEA"/>
    <w:rsid w:val="005A7D5C"/>
    <w:rsid w:val="005B0692"/>
    <w:rsid w:val="005B1AF5"/>
    <w:rsid w:val="005B1F0E"/>
    <w:rsid w:val="005B247C"/>
    <w:rsid w:val="005B2581"/>
    <w:rsid w:val="005B3574"/>
    <w:rsid w:val="005B5686"/>
    <w:rsid w:val="005B56A2"/>
    <w:rsid w:val="005B5A85"/>
    <w:rsid w:val="005B5BD2"/>
    <w:rsid w:val="005B5FE4"/>
    <w:rsid w:val="005B648F"/>
    <w:rsid w:val="005B64A5"/>
    <w:rsid w:val="005B6697"/>
    <w:rsid w:val="005C039F"/>
    <w:rsid w:val="005C0713"/>
    <w:rsid w:val="005C0FE1"/>
    <w:rsid w:val="005C12F7"/>
    <w:rsid w:val="005C1647"/>
    <w:rsid w:val="005C1C9E"/>
    <w:rsid w:val="005C32C2"/>
    <w:rsid w:val="005C417D"/>
    <w:rsid w:val="005C4C77"/>
    <w:rsid w:val="005C4D8A"/>
    <w:rsid w:val="005C56DE"/>
    <w:rsid w:val="005C5A80"/>
    <w:rsid w:val="005C5DB3"/>
    <w:rsid w:val="005C6C80"/>
    <w:rsid w:val="005C6D1D"/>
    <w:rsid w:val="005C7378"/>
    <w:rsid w:val="005C7528"/>
    <w:rsid w:val="005C77FF"/>
    <w:rsid w:val="005C7F6E"/>
    <w:rsid w:val="005D06C9"/>
    <w:rsid w:val="005D099D"/>
    <w:rsid w:val="005D0EAD"/>
    <w:rsid w:val="005D3202"/>
    <w:rsid w:val="005D3D4F"/>
    <w:rsid w:val="005D4043"/>
    <w:rsid w:val="005D5140"/>
    <w:rsid w:val="005D64E7"/>
    <w:rsid w:val="005D68B9"/>
    <w:rsid w:val="005D6E27"/>
    <w:rsid w:val="005D75CD"/>
    <w:rsid w:val="005D793C"/>
    <w:rsid w:val="005E0C29"/>
    <w:rsid w:val="005E1ED2"/>
    <w:rsid w:val="005E1F68"/>
    <w:rsid w:val="005E35B3"/>
    <w:rsid w:val="005E35B8"/>
    <w:rsid w:val="005E3DBE"/>
    <w:rsid w:val="005E43DD"/>
    <w:rsid w:val="005E5833"/>
    <w:rsid w:val="005E5B2A"/>
    <w:rsid w:val="005E5D4B"/>
    <w:rsid w:val="005E6847"/>
    <w:rsid w:val="005E69C2"/>
    <w:rsid w:val="005E768B"/>
    <w:rsid w:val="005E7E34"/>
    <w:rsid w:val="005F0387"/>
    <w:rsid w:val="005F0795"/>
    <w:rsid w:val="005F1667"/>
    <w:rsid w:val="005F182C"/>
    <w:rsid w:val="005F1841"/>
    <w:rsid w:val="005F1F7D"/>
    <w:rsid w:val="005F1F7F"/>
    <w:rsid w:val="005F28EF"/>
    <w:rsid w:val="005F2AD8"/>
    <w:rsid w:val="005F2D14"/>
    <w:rsid w:val="005F338B"/>
    <w:rsid w:val="005F3429"/>
    <w:rsid w:val="005F3647"/>
    <w:rsid w:val="005F3A32"/>
    <w:rsid w:val="005F3E8B"/>
    <w:rsid w:val="005F3ED5"/>
    <w:rsid w:val="005F425D"/>
    <w:rsid w:val="005F427E"/>
    <w:rsid w:val="005F42E1"/>
    <w:rsid w:val="005F4522"/>
    <w:rsid w:val="005F4618"/>
    <w:rsid w:val="005F54FC"/>
    <w:rsid w:val="005F5573"/>
    <w:rsid w:val="005F5981"/>
    <w:rsid w:val="005F5EB9"/>
    <w:rsid w:val="005F66CA"/>
    <w:rsid w:val="005F70E4"/>
    <w:rsid w:val="005F7147"/>
    <w:rsid w:val="005F7315"/>
    <w:rsid w:val="005F7A06"/>
    <w:rsid w:val="005F7D4E"/>
    <w:rsid w:val="005F7DA3"/>
    <w:rsid w:val="00600071"/>
    <w:rsid w:val="00600716"/>
    <w:rsid w:val="00600C88"/>
    <w:rsid w:val="00601244"/>
    <w:rsid w:val="00601D2D"/>
    <w:rsid w:val="0060272D"/>
    <w:rsid w:val="00602BB6"/>
    <w:rsid w:val="0060412B"/>
    <w:rsid w:val="00604460"/>
    <w:rsid w:val="00604B7A"/>
    <w:rsid w:val="00604BE9"/>
    <w:rsid w:val="006050F7"/>
    <w:rsid w:val="00605A28"/>
    <w:rsid w:val="00605CB4"/>
    <w:rsid w:val="00605EFD"/>
    <w:rsid w:val="00605FDC"/>
    <w:rsid w:val="00606CB1"/>
    <w:rsid w:val="00606E32"/>
    <w:rsid w:val="006070E5"/>
    <w:rsid w:val="00607253"/>
    <w:rsid w:val="00607316"/>
    <w:rsid w:val="00607A53"/>
    <w:rsid w:val="00607AAB"/>
    <w:rsid w:val="00607B5E"/>
    <w:rsid w:val="00610D20"/>
    <w:rsid w:val="0061115B"/>
    <w:rsid w:val="00611183"/>
    <w:rsid w:val="00611605"/>
    <w:rsid w:val="0061256D"/>
    <w:rsid w:val="00612A51"/>
    <w:rsid w:val="00612D58"/>
    <w:rsid w:val="00612EC6"/>
    <w:rsid w:val="006132C0"/>
    <w:rsid w:val="00613A14"/>
    <w:rsid w:val="00614BA8"/>
    <w:rsid w:val="00614DF0"/>
    <w:rsid w:val="0061545D"/>
    <w:rsid w:val="00615692"/>
    <w:rsid w:val="00615732"/>
    <w:rsid w:val="00615AB7"/>
    <w:rsid w:val="00615BFF"/>
    <w:rsid w:val="00615C42"/>
    <w:rsid w:val="00615CB2"/>
    <w:rsid w:val="00615E05"/>
    <w:rsid w:val="00615EEC"/>
    <w:rsid w:val="00616568"/>
    <w:rsid w:val="00616778"/>
    <w:rsid w:val="00616E9E"/>
    <w:rsid w:val="00616F8B"/>
    <w:rsid w:val="00617FE7"/>
    <w:rsid w:val="00620949"/>
    <w:rsid w:val="00622574"/>
    <w:rsid w:val="00622D21"/>
    <w:rsid w:val="00623230"/>
    <w:rsid w:val="00623B73"/>
    <w:rsid w:val="00626596"/>
    <w:rsid w:val="00626820"/>
    <w:rsid w:val="00626EC9"/>
    <w:rsid w:val="00627BAF"/>
    <w:rsid w:val="006301E0"/>
    <w:rsid w:val="006303FE"/>
    <w:rsid w:val="006306DA"/>
    <w:rsid w:val="00631BAE"/>
    <w:rsid w:val="00631DEA"/>
    <w:rsid w:val="00632089"/>
    <w:rsid w:val="00632A05"/>
    <w:rsid w:val="00632F1D"/>
    <w:rsid w:val="006332BC"/>
    <w:rsid w:val="00633B3B"/>
    <w:rsid w:val="00633EBB"/>
    <w:rsid w:val="00633F39"/>
    <w:rsid w:val="006358B5"/>
    <w:rsid w:val="00635941"/>
    <w:rsid w:val="006362D1"/>
    <w:rsid w:val="00636D53"/>
    <w:rsid w:val="00637700"/>
    <w:rsid w:val="0064002F"/>
    <w:rsid w:val="00640630"/>
    <w:rsid w:val="00640C4E"/>
    <w:rsid w:val="00640D7A"/>
    <w:rsid w:val="0064105C"/>
    <w:rsid w:val="006419CE"/>
    <w:rsid w:val="00641D4D"/>
    <w:rsid w:val="00641DE0"/>
    <w:rsid w:val="00642BFA"/>
    <w:rsid w:val="00642E2D"/>
    <w:rsid w:val="00643AB2"/>
    <w:rsid w:val="006446F8"/>
    <w:rsid w:val="00645EEA"/>
    <w:rsid w:val="006462FB"/>
    <w:rsid w:val="0064688C"/>
    <w:rsid w:val="006473C0"/>
    <w:rsid w:val="0065033F"/>
    <w:rsid w:val="006506BF"/>
    <w:rsid w:val="00650E62"/>
    <w:rsid w:val="00650EA3"/>
    <w:rsid w:val="00650EB2"/>
    <w:rsid w:val="00651C7E"/>
    <w:rsid w:val="00651CE3"/>
    <w:rsid w:val="006521A9"/>
    <w:rsid w:val="00652397"/>
    <w:rsid w:val="00652827"/>
    <w:rsid w:val="00652837"/>
    <w:rsid w:val="0065319E"/>
    <w:rsid w:val="006534FA"/>
    <w:rsid w:val="0065388C"/>
    <w:rsid w:val="00653E52"/>
    <w:rsid w:val="00653F3D"/>
    <w:rsid w:val="00654A06"/>
    <w:rsid w:val="00655496"/>
    <w:rsid w:val="00655A91"/>
    <w:rsid w:val="0065629E"/>
    <w:rsid w:val="00661380"/>
    <w:rsid w:val="0066165E"/>
    <w:rsid w:val="00661F04"/>
    <w:rsid w:val="00662043"/>
    <w:rsid w:val="00662CD4"/>
    <w:rsid w:val="00662FE8"/>
    <w:rsid w:val="00662FF3"/>
    <w:rsid w:val="00663B04"/>
    <w:rsid w:val="00665430"/>
    <w:rsid w:val="00665E28"/>
    <w:rsid w:val="00666777"/>
    <w:rsid w:val="00666D42"/>
    <w:rsid w:val="0066739C"/>
    <w:rsid w:val="00667851"/>
    <w:rsid w:val="006679E9"/>
    <w:rsid w:val="00667C6F"/>
    <w:rsid w:val="00667E06"/>
    <w:rsid w:val="0067045A"/>
    <w:rsid w:val="00670472"/>
    <w:rsid w:val="006706C8"/>
    <w:rsid w:val="0067081C"/>
    <w:rsid w:val="006719FE"/>
    <w:rsid w:val="006726EF"/>
    <w:rsid w:val="00672AB5"/>
    <w:rsid w:val="006730A8"/>
    <w:rsid w:val="006741AF"/>
    <w:rsid w:val="0067490D"/>
    <w:rsid w:val="00674D95"/>
    <w:rsid w:val="0067618B"/>
    <w:rsid w:val="00676A59"/>
    <w:rsid w:val="00676D09"/>
    <w:rsid w:val="00677087"/>
    <w:rsid w:val="00677493"/>
    <w:rsid w:val="006804B2"/>
    <w:rsid w:val="006804C0"/>
    <w:rsid w:val="006805DC"/>
    <w:rsid w:val="00681757"/>
    <w:rsid w:val="00681935"/>
    <w:rsid w:val="00683303"/>
    <w:rsid w:val="0068334E"/>
    <w:rsid w:val="00684C61"/>
    <w:rsid w:val="00685405"/>
    <w:rsid w:val="00686217"/>
    <w:rsid w:val="006862A4"/>
    <w:rsid w:val="00686349"/>
    <w:rsid w:val="0068661D"/>
    <w:rsid w:val="00686A21"/>
    <w:rsid w:val="00686B9E"/>
    <w:rsid w:val="00686F2E"/>
    <w:rsid w:val="00687628"/>
    <w:rsid w:val="00687D52"/>
    <w:rsid w:val="006908E3"/>
    <w:rsid w:val="00690EFF"/>
    <w:rsid w:val="0069112C"/>
    <w:rsid w:val="006912D9"/>
    <w:rsid w:val="006916F6"/>
    <w:rsid w:val="00692291"/>
    <w:rsid w:val="006937FC"/>
    <w:rsid w:val="0069393F"/>
    <w:rsid w:val="00693C78"/>
    <w:rsid w:val="00693F20"/>
    <w:rsid w:val="00693F46"/>
    <w:rsid w:val="00694A60"/>
    <w:rsid w:val="00694ADE"/>
    <w:rsid w:val="00695162"/>
    <w:rsid w:val="00695731"/>
    <w:rsid w:val="00695CED"/>
    <w:rsid w:val="00696B96"/>
    <w:rsid w:val="006973D5"/>
    <w:rsid w:val="006976CA"/>
    <w:rsid w:val="00697A92"/>
    <w:rsid w:val="00697D5B"/>
    <w:rsid w:val="006A04FF"/>
    <w:rsid w:val="006A096B"/>
    <w:rsid w:val="006A0CD8"/>
    <w:rsid w:val="006A1315"/>
    <w:rsid w:val="006A183D"/>
    <w:rsid w:val="006A1F40"/>
    <w:rsid w:val="006A26DF"/>
    <w:rsid w:val="006A2CCE"/>
    <w:rsid w:val="006A2EAD"/>
    <w:rsid w:val="006A3192"/>
    <w:rsid w:val="006A4498"/>
    <w:rsid w:val="006A452C"/>
    <w:rsid w:val="006A4829"/>
    <w:rsid w:val="006A4935"/>
    <w:rsid w:val="006A559E"/>
    <w:rsid w:val="006A7457"/>
    <w:rsid w:val="006B083A"/>
    <w:rsid w:val="006B1EAA"/>
    <w:rsid w:val="006B2002"/>
    <w:rsid w:val="006B20A6"/>
    <w:rsid w:val="006B319A"/>
    <w:rsid w:val="006B3E9D"/>
    <w:rsid w:val="006B40B9"/>
    <w:rsid w:val="006B4363"/>
    <w:rsid w:val="006B4CDF"/>
    <w:rsid w:val="006B5273"/>
    <w:rsid w:val="006B5344"/>
    <w:rsid w:val="006B55F3"/>
    <w:rsid w:val="006B5F16"/>
    <w:rsid w:val="006B6233"/>
    <w:rsid w:val="006B6239"/>
    <w:rsid w:val="006B6342"/>
    <w:rsid w:val="006B6F23"/>
    <w:rsid w:val="006B78DE"/>
    <w:rsid w:val="006C01BD"/>
    <w:rsid w:val="006C02EC"/>
    <w:rsid w:val="006C0B34"/>
    <w:rsid w:val="006C1965"/>
    <w:rsid w:val="006C2D2F"/>
    <w:rsid w:val="006C33F0"/>
    <w:rsid w:val="006C3F9A"/>
    <w:rsid w:val="006C48E9"/>
    <w:rsid w:val="006C49FF"/>
    <w:rsid w:val="006C68FB"/>
    <w:rsid w:val="006C6DB9"/>
    <w:rsid w:val="006C778E"/>
    <w:rsid w:val="006C7B3A"/>
    <w:rsid w:val="006C7C69"/>
    <w:rsid w:val="006C7D45"/>
    <w:rsid w:val="006D032E"/>
    <w:rsid w:val="006D15B8"/>
    <w:rsid w:val="006D16A2"/>
    <w:rsid w:val="006D175D"/>
    <w:rsid w:val="006D1C16"/>
    <w:rsid w:val="006D1E06"/>
    <w:rsid w:val="006D26B7"/>
    <w:rsid w:val="006D3814"/>
    <w:rsid w:val="006D421B"/>
    <w:rsid w:val="006D4E03"/>
    <w:rsid w:val="006D4E4E"/>
    <w:rsid w:val="006D5ACC"/>
    <w:rsid w:val="006D5B85"/>
    <w:rsid w:val="006D5FA8"/>
    <w:rsid w:val="006D6339"/>
    <w:rsid w:val="006D6AE2"/>
    <w:rsid w:val="006D6AFA"/>
    <w:rsid w:val="006D6E7D"/>
    <w:rsid w:val="006D700B"/>
    <w:rsid w:val="006D7068"/>
    <w:rsid w:val="006D7788"/>
    <w:rsid w:val="006E0E01"/>
    <w:rsid w:val="006E0EFD"/>
    <w:rsid w:val="006E0FDC"/>
    <w:rsid w:val="006E2779"/>
    <w:rsid w:val="006E2E3E"/>
    <w:rsid w:val="006E3966"/>
    <w:rsid w:val="006E5340"/>
    <w:rsid w:val="006E58B7"/>
    <w:rsid w:val="006E632E"/>
    <w:rsid w:val="006E6CA1"/>
    <w:rsid w:val="006E726C"/>
    <w:rsid w:val="006E772E"/>
    <w:rsid w:val="006E7BB2"/>
    <w:rsid w:val="006E7E9F"/>
    <w:rsid w:val="006F0E05"/>
    <w:rsid w:val="006F10E6"/>
    <w:rsid w:val="006F1C71"/>
    <w:rsid w:val="006F237B"/>
    <w:rsid w:val="006F26C5"/>
    <w:rsid w:val="006F286B"/>
    <w:rsid w:val="006F28E2"/>
    <w:rsid w:val="006F2ADB"/>
    <w:rsid w:val="006F2B76"/>
    <w:rsid w:val="006F3962"/>
    <w:rsid w:val="006F4508"/>
    <w:rsid w:val="006F4547"/>
    <w:rsid w:val="006F4866"/>
    <w:rsid w:val="006F5992"/>
    <w:rsid w:val="006F5D12"/>
    <w:rsid w:val="006F66DA"/>
    <w:rsid w:val="006F6740"/>
    <w:rsid w:val="006F713F"/>
    <w:rsid w:val="006F715A"/>
    <w:rsid w:val="007002DB"/>
    <w:rsid w:val="007004D1"/>
    <w:rsid w:val="0070091B"/>
    <w:rsid w:val="00701082"/>
    <w:rsid w:val="00701A7C"/>
    <w:rsid w:val="00702470"/>
    <w:rsid w:val="007049A6"/>
    <w:rsid w:val="00704DE6"/>
    <w:rsid w:val="007054D6"/>
    <w:rsid w:val="00705713"/>
    <w:rsid w:val="00705B0E"/>
    <w:rsid w:val="00705C6B"/>
    <w:rsid w:val="00706132"/>
    <w:rsid w:val="00706599"/>
    <w:rsid w:val="007079E1"/>
    <w:rsid w:val="00707AC5"/>
    <w:rsid w:val="00707AC6"/>
    <w:rsid w:val="00707EEF"/>
    <w:rsid w:val="00711B43"/>
    <w:rsid w:val="00711D3C"/>
    <w:rsid w:val="0071209D"/>
    <w:rsid w:val="00712545"/>
    <w:rsid w:val="00712B88"/>
    <w:rsid w:val="00712F32"/>
    <w:rsid w:val="007130EC"/>
    <w:rsid w:val="007134D5"/>
    <w:rsid w:val="00713991"/>
    <w:rsid w:val="00713B96"/>
    <w:rsid w:val="00713BE2"/>
    <w:rsid w:val="00713FB0"/>
    <w:rsid w:val="00714E12"/>
    <w:rsid w:val="0071520B"/>
    <w:rsid w:val="00715249"/>
    <w:rsid w:val="00715AD5"/>
    <w:rsid w:val="00716D6B"/>
    <w:rsid w:val="00717963"/>
    <w:rsid w:val="00720583"/>
    <w:rsid w:val="0072071D"/>
    <w:rsid w:val="007214F7"/>
    <w:rsid w:val="0072273D"/>
    <w:rsid w:val="007228FC"/>
    <w:rsid w:val="007230B4"/>
    <w:rsid w:val="00723370"/>
    <w:rsid w:val="00723723"/>
    <w:rsid w:val="007238EE"/>
    <w:rsid w:val="00723CCC"/>
    <w:rsid w:val="00724C65"/>
    <w:rsid w:val="00724E98"/>
    <w:rsid w:val="0072565A"/>
    <w:rsid w:val="00725B31"/>
    <w:rsid w:val="00725D18"/>
    <w:rsid w:val="00725E27"/>
    <w:rsid w:val="00725FC5"/>
    <w:rsid w:val="0072665B"/>
    <w:rsid w:val="00726D1E"/>
    <w:rsid w:val="007304D8"/>
    <w:rsid w:val="007306BE"/>
    <w:rsid w:val="0073113A"/>
    <w:rsid w:val="00731405"/>
    <w:rsid w:val="00733919"/>
    <w:rsid w:val="00733DAF"/>
    <w:rsid w:val="007345B6"/>
    <w:rsid w:val="007350BD"/>
    <w:rsid w:val="00735129"/>
    <w:rsid w:val="007361EA"/>
    <w:rsid w:val="007364DB"/>
    <w:rsid w:val="0073659F"/>
    <w:rsid w:val="00737C7F"/>
    <w:rsid w:val="00740025"/>
    <w:rsid w:val="00740500"/>
    <w:rsid w:val="00740528"/>
    <w:rsid w:val="0074089D"/>
    <w:rsid w:val="00740F67"/>
    <w:rsid w:val="0074167C"/>
    <w:rsid w:val="00743CF0"/>
    <w:rsid w:val="00744893"/>
    <w:rsid w:val="00744DBC"/>
    <w:rsid w:val="00745207"/>
    <w:rsid w:val="00745DA1"/>
    <w:rsid w:val="0074663A"/>
    <w:rsid w:val="00746BF9"/>
    <w:rsid w:val="007471A8"/>
    <w:rsid w:val="007472B4"/>
    <w:rsid w:val="00747C6D"/>
    <w:rsid w:val="007508C7"/>
    <w:rsid w:val="007509BA"/>
    <w:rsid w:val="00750D7C"/>
    <w:rsid w:val="00751687"/>
    <w:rsid w:val="0075188A"/>
    <w:rsid w:val="00752493"/>
    <w:rsid w:val="007530E2"/>
    <w:rsid w:val="00753437"/>
    <w:rsid w:val="007543AC"/>
    <w:rsid w:val="007545F2"/>
    <w:rsid w:val="00754A56"/>
    <w:rsid w:val="00754CFB"/>
    <w:rsid w:val="0075521C"/>
    <w:rsid w:val="007553C1"/>
    <w:rsid w:val="007556D0"/>
    <w:rsid w:val="00755D12"/>
    <w:rsid w:val="00760102"/>
    <w:rsid w:val="007601D4"/>
    <w:rsid w:val="0076136E"/>
    <w:rsid w:val="00762037"/>
    <w:rsid w:val="00762E77"/>
    <w:rsid w:val="00762ED8"/>
    <w:rsid w:val="00763A14"/>
    <w:rsid w:val="007646F9"/>
    <w:rsid w:val="007647FF"/>
    <w:rsid w:val="007648F1"/>
    <w:rsid w:val="00764D4C"/>
    <w:rsid w:val="00765092"/>
    <w:rsid w:val="00765B81"/>
    <w:rsid w:val="00765DBA"/>
    <w:rsid w:val="00765E9D"/>
    <w:rsid w:val="00766AFC"/>
    <w:rsid w:val="00766D4C"/>
    <w:rsid w:val="007670C6"/>
    <w:rsid w:val="00767A8E"/>
    <w:rsid w:val="0077006D"/>
    <w:rsid w:val="00770D51"/>
    <w:rsid w:val="007715E2"/>
    <w:rsid w:val="00771A5D"/>
    <w:rsid w:val="00771B2B"/>
    <w:rsid w:val="00771CCD"/>
    <w:rsid w:val="007725FD"/>
    <w:rsid w:val="00772B13"/>
    <w:rsid w:val="00772C51"/>
    <w:rsid w:val="00772F2C"/>
    <w:rsid w:val="007730B4"/>
    <w:rsid w:val="00773A02"/>
    <w:rsid w:val="00773B10"/>
    <w:rsid w:val="0077435F"/>
    <w:rsid w:val="00774989"/>
    <w:rsid w:val="00774DE7"/>
    <w:rsid w:val="00775311"/>
    <w:rsid w:val="007758C3"/>
    <w:rsid w:val="0077601E"/>
    <w:rsid w:val="00776958"/>
    <w:rsid w:val="00776A83"/>
    <w:rsid w:val="00776AD2"/>
    <w:rsid w:val="00776D20"/>
    <w:rsid w:val="00776FCE"/>
    <w:rsid w:val="0077795A"/>
    <w:rsid w:val="00777EBE"/>
    <w:rsid w:val="0078137F"/>
    <w:rsid w:val="00781A0E"/>
    <w:rsid w:val="00781CFE"/>
    <w:rsid w:val="007826AB"/>
    <w:rsid w:val="0078303E"/>
    <w:rsid w:val="007837B3"/>
    <w:rsid w:val="007843E0"/>
    <w:rsid w:val="00784A67"/>
    <w:rsid w:val="00785A4C"/>
    <w:rsid w:val="00786299"/>
    <w:rsid w:val="00786CEC"/>
    <w:rsid w:val="00786D0C"/>
    <w:rsid w:val="00786F13"/>
    <w:rsid w:val="00787767"/>
    <w:rsid w:val="0078797F"/>
    <w:rsid w:val="00787D56"/>
    <w:rsid w:val="00787DCF"/>
    <w:rsid w:val="00787EA0"/>
    <w:rsid w:val="0079056C"/>
    <w:rsid w:val="00790722"/>
    <w:rsid w:val="0079089A"/>
    <w:rsid w:val="0079089E"/>
    <w:rsid w:val="00790CD7"/>
    <w:rsid w:val="007912EC"/>
    <w:rsid w:val="00791D72"/>
    <w:rsid w:val="00792262"/>
    <w:rsid w:val="00792DB8"/>
    <w:rsid w:val="00793D2F"/>
    <w:rsid w:val="00793E5C"/>
    <w:rsid w:val="0079447C"/>
    <w:rsid w:val="00794B31"/>
    <w:rsid w:val="00794C78"/>
    <w:rsid w:val="00796096"/>
    <w:rsid w:val="00796551"/>
    <w:rsid w:val="00796925"/>
    <w:rsid w:val="00797998"/>
    <w:rsid w:val="007A01F0"/>
    <w:rsid w:val="007A10D9"/>
    <w:rsid w:val="007A1B6B"/>
    <w:rsid w:val="007A239B"/>
    <w:rsid w:val="007A2871"/>
    <w:rsid w:val="007A2EF9"/>
    <w:rsid w:val="007A3D85"/>
    <w:rsid w:val="007A3F21"/>
    <w:rsid w:val="007A4995"/>
    <w:rsid w:val="007A4A3C"/>
    <w:rsid w:val="007A4FFF"/>
    <w:rsid w:val="007B0118"/>
    <w:rsid w:val="007B0146"/>
    <w:rsid w:val="007B0AB2"/>
    <w:rsid w:val="007B0F62"/>
    <w:rsid w:val="007B141E"/>
    <w:rsid w:val="007B1AED"/>
    <w:rsid w:val="007B21A4"/>
    <w:rsid w:val="007B2229"/>
    <w:rsid w:val="007B252A"/>
    <w:rsid w:val="007B2950"/>
    <w:rsid w:val="007B2E7A"/>
    <w:rsid w:val="007B39A5"/>
    <w:rsid w:val="007B5C2B"/>
    <w:rsid w:val="007B6F5E"/>
    <w:rsid w:val="007B7613"/>
    <w:rsid w:val="007C0934"/>
    <w:rsid w:val="007C319B"/>
    <w:rsid w:val="007C3239"/>
    <w:rsid w:val="007C3E0D"/>
    <w:rsid w:val="007C416F"/>
    <w:rsid w:val="007C4272"/>
    <w:rsid w:val="007C46B7"/>
    <w:rsid w:val="007C48EC"/>
    <w:rsid w:val="007C4BAC"/>
    <w:rsid w:val="007C5466"/>
    <w:rsid w:val="007C58CD"/>
    <w:rsid w:val="007C5904"/>
    <w:rsid w:val="007C5D84"/>
    <w:rsid w:val="007C5E03"/>
    <w:rsid w:val="007C60AF"/>
    <w:rsid w:val="007C642C"/>
    <w:rsid w:val="007C77D3"/>
    <w:rsid w:val="007D040F"/>
    <w:rsid w:val="007D04E3"/>
    <w:rsid w:val="007D12DC"/>
    <w:rsid w:val="007D134A"/>
    <w:rsid w:val="007D1BF3"/>
    <w:rsid w:val="007D3911"/>
    <w:rsid w:val="007D3CA2"/>
    <w:rsid w:val="007D4653"/>
    <w:rsid w:val="007D5413"/>
    <w:rsid w:val="007D5796"/>
    <w:rsid w:val="007D694F"/>
    <w:rsid w:val="007D6CF6"/>
    <w:rsid w:val="007D70E3"/>
    <w:rsid w:val="007D732F"/>
    <w:rsid w:val="007D76BB"/>
    <w:rsid w:val="007D7915"/>
    <w:rsid w:val="007D7EAF"/>
    <w:rsid w:val="007D7FA7"/>
    <w:rsid w:val="007E037B"/>
    <w:rsid w:val="007E0D9D"/>
    <w:rsid w:val="007E2644"/>
    <w:rsid w:val="007E37A3"/>
    <w:rsid w:val="007E3B32"/>
    <w:rsid w:val="007E3D5B"/>
    <w:rsid w:val="007E42EB"/>
    <w:rsid w:val="007E430C"/>
    <w:rsid w:val="007E5535"/>
    <w:rsid w:val="007E5F42"/>
    <w:rsid w:val="007E73CC"/>
    <w:rsid w:val="007E7414"/>
    <w:rsid w:val="007E7DCD"/>
    <w:rsid w:val="007E7FF9"/>
    <w:rsid w:val="007F0514"/>
    <w:rsid w:val="007F08AC"/>
    <w:rsid w:val="007F1262"/>
    <w:rsid w:val="007F229C"/>
    <w:rsid w:val="007F24EA"/>
    <w:rsid w:val="007F320F"/>
    <w:rsid w:val="007F32BB"/>
    <w:rsid w:val="007F3706"/>
    <w:rsid w:val="007F3A41"/>
    <w:rsid w:val="007F4E48"/>
    <w:rsid w:val="007F5367"/>
    <w:rsid w:val="007F63BA"/>
    <w:rsid w:val="007F69BB"/>
    <w:rsid w:val="007F6FCD"/>
    <w:rsid w:val="007F6FF1"/>
    <w:rsid w:val="007F707E"/>
    <w:rsid w:val="007F75E5"/>
    <w:rsid w:val="00800007"/>
    <w:rsid w:val="00800033"/>
    <w:rsid w:val="00800679"/>
    <w:rsid w:val="008017C1"/>
    <w:rsid w:val="00801BFB"/>
    <w:rsid w:val="00801D03"/>
    <w:rsid w:val="0080222C"/>
    <w:rsid w:val="00802A4B"/>
    <w:rsid w:val="00803699"/>
    <w:rsid w:val="008039CE"/>
    <w:rsid w:val="00803AB7"/>
    <w:rsid w:val="00805982"/>
    <w:rsid w:val="00805AEE"/>
    <w:rsid w:val="00805C36"/>
    <w:rsid w:val="008064B4"/>
    <w:rsid w:val="008066B6"/>
    <w:rsid w:val="008067ED"/>
    <w:rsid w:val="00806D25"/>
    <w:rsid w:val="008074D7"/>
    <w:rsid w:val="008100E4"/>
    <w:rsid w:val="008133D5"/>
    <w:rsid w:val="00813ED0"/>
    <w:rsid w:val="00814153"/>
    <w:rsid w:val="0081433A"/>
    <w:rsid w:val="0081469B"/>
    <w:rsid w:val="00814A8A"/>
    <w:rsid w:val="008168DE"/>
    <w:rsid w:val="008168E8"/>
    <w:rsid w:val="00816EC1"/>
    <w:rsid w:val="00817254"/>
    <w:rsid w:val="008175A0"/>
    <w:rsid w:val="00820382"/>
    <w:rsid w:val="008204AD"/>
    <w:rsid w:val="008208EC"/>
    <w:rsid w:val="00820DE1"/>
    <w:rsid w:val="00820E0F"/>
    <w:rsid w:val="00820FED"/>
    <w:rsid w:val="00822206"/>
    <w:rsid w:val="00822486"/>
    <w:rsid w:val="00822C08"/>
    <w:rsid w:val="00822EDF"/>
    <w:rsid w:val="00823420"/>
    <w:rsid w:val="00824A0C"/>
    <w:rsid w:val="0082547E"/>
    <w:rsid w:val="00826704"/>
    <w:rsid w:val="008267D8"/>
    <w:rsid w:val="008269B6"/>
    <w:rsid w:val="008300A1"/>
    <w:rsid w:val="00830142"/>
    <w:rsid w:val="0083030D"/>
    <w:rsid w:val="0083086A"/>
    <w:rsid w:val="0083113C"/>
    <w:rsid w:val="00831522"/>
    <w:rsid w:val="008315CB"/>
    <w:rsid w:val="008317EE"/>
    <w:rsid w:val="00831BFF"/>
    <w:rsid w:val="00832E87"/>
    <w:rsid w:val="0083354D"/>
    <w:rsid w:val="0083384C"/>
    <w:rsid w:val="00833AD3"/>
    <w:rsid w:val="0083580D"/>
    <w:rsid w:val="00836339"/>
    <w:rsid w:val="00836425"/>
    <w:rsid w:val="0083689A"/>
    <w:rsid w:val="008371A0"/>
    <w:rsid w:val="00837BD1"/>
    <w:rsid w:val="00837FBB"/>
    <w:rsid w:val="00840295"/>
    <w:rsid w:val="0084081C"/>
    <w:rsid w:val="00840C44"/>
    <w:rsid w:val="00841E5C"/>
    <w:rsid w:val="0084262E"/>
    <w:rsid w:val="00842656"/>
    <w:rsid w:val="0084305F"/>
    <w:rsid w:val="00843672"/>
    <w:rsid w:val="00843EF3"/>
    <w:rsid w:val="008445E7"/>
    <w:rsid w:val="00844BD2"/>
    <w:rsid w:val="00846021"/>
    <w:rsid w:val="008460BC"/>
    <w:rsid w:val="008469F3"/>
    <w:rsid w:val="00846B04"/>
    <w:rsid w:val="0084700F"/>
    <w:rsid w:val="00847605"/>
    <w:rsid w:val="0084788B"/>
    <w:rsid w:val="00847A23"/>
    <w:rsid w:val="00850314"/>
    <w:rsid w:val="00850727"/>
    <w:rsid w:val="00851379"/>
    <w:rsid w:val="008517B0"/>
    <w:rsid w:val="00853452"/>
    <w:rsid w:val="008536A1"/>
    <w:rsid w:val="008537D1"/>
    <w:rsid w:val="008539E2"/>
    <w:rsid w:val="00854174"/>
    <w:rsid w:val="008542E4"/>
    <w:rsid w:val="00854B8D"/>
    <w:rsid w:val="00855427"/>
    <w:rsid w:val="008555B0"/>
    <w:rsid w:val="00855796"/>
    <w:rsid w:val="0085583A"/>
    <w:rsid w:val="008564D9"/>
    <w:rsid w:val="00856957"/>
    <w:rsid w:val="008579A2"/>
    <w:rsid w:val="00857F4C"/>
    <w:rsid w:val="0086015C"/>
    <w:rsid w:val="00861B19"/>
    <w:rsid w:val="00862958"/>
    <w:rsid w:val="00864790"/>
    <w:rsid w:val="00864E14"/>
    <w:rsid w:val="00865318"/>
    <w:rsid w:val="008654E1"/>
    <w:rsid w:val="00865512"/>
    <w:rsid w:val="00865C27"/>
    <w:rsid w:val="00867281"/>
    <w:rsid w:val="0086779A"/>
    <w:rsid w:val="00867A16"/>
    <w:rsid w:val="00867A8A"/>
    <w:rsid w:val="008702F6"/>
    <w:rsid w:val="00870305"/>
    <w:rsid w:val="00870716"/>
    <w:rsid w:val="00870D24"/>
    <w:rsid w:val="00871064"/>
    <w:rsid w:val="00871A84"/>
    <w:rsid w:val="00872465"/>
    <w:rsid w:val="008725D3"/>
    <w:rsid w:val="00872B2C"/>
    <w:rsid w:val="00872E36"/>
    <w:rsid w:val="008730EA"/>
    <w:rsid w:val="00873352"/>
    <w:rsid w:val="00873540"/>
    <w:rsid w:val="00874D40"/>
    <w:rsid w:val="00875124"/>
    <w:rsid w:val="008753EB"/>
    <w:rsid w:val="00875624"/>
    <w:rsid w:val="00876A16"/>
    <w:rsid w:val="008771F4"/>
    <w:rsid w:val="00877A4B"/>
    <w:rsid w:val="00877F38"/>
    <w:rsid w:val="008801C0"/>
    <w:rsid w:val="00880436"/>
    <w:rsid w:val="00880533"/>
    <w:rsid w:val="00881406"/>
    <w:rsid w:val="00881661"/>
    <w:rsid w:val="008828F7"/>
    <w:rsid w:val="00882C29"/>
    <w:rsid w:val="00882E30"/>
    <w:rsid w:val="00883AF9"/>
    <w:rsid w:val="00883C36"/>
    <w:rsid w:val="0088428E"/>
    <w:rsid w:val="00884A64"/>
    <w:rsid w:val="00884DB4"/>
    <w:rsid w:val="00884F01"/>
    <w:rsid w:val="008853A9"/>
    <w:rsid w:val="0088558B"/>
    <w:rsid w:val="00885C32"/>
    <w:rsid w:val="00885D48"/>
    <w:rsid w:val="00885E7D"/>
    <w:rsid w:val="008862E3"/>
    <w:rsid w:val="00886F22"/>
    <w:rsid w:val="00887097"/>
    <w:rsid w:val="00887778"/>
    <w:rsid w:val="00887895"/>
    <w:rsid w:val="00887C35"/>
    <w:rsid w:val="00890602"/>
    <w:rsid w:val="00890748"/>
    <w:rsid w:val="00891253"/>
    <w:rsid w:val="008921FC"/>
    <w:rsid w:val="0089344E"/>
    <w:rsid w:val="00893972"/>
    <w:rsid w:val="00893C45"/>
    <w:rsid w:val="00893DB2"/>
    <w:rsid w:val="00893DDE"/>
    <w:rsid w:val="00894D74"/>
    <w:rsid w:val="00895E29"/>
    <w:rsid w:val="008962C1"/>
    <w:rsid w:val="00896DD3"/>
    <w:rsid w:val="00896E0E"/>
    <w:rsid w:val="00896F11"/>
    <w:rsid w:val="008A025F"/>
    <w:rsid w:val="008A0290"/>
    <w:rsid w:val="008A0334"/>
    <w:rsid w:val="008A0CC7"/>
    <w:rsid w:val="008A0CD5"/>
    <w:rsid w:val="008A25A5"/>
    <w:rsid w:val="008A3335"/>
    <w:rsid w:val="008A3766"/>
    <w:rsid w:val="008A3A95"/>
    <w:rsid w:val="008A3F29"/>
    <w:rsid w:val="008A42FD"/>
    <w:rsid w:val="008A4B10"/>
    <w:rsid w:val="008A4EFB"/>
    <w:rsid w:val="008A6357"/>
    <w:rsid w:val="008A68CA"/>
    <w:rsid w:val="008A6D55"/>
    <w:rsid w:val="008A7285"/>
    <w:rsid w:val="008A7444"/>
    <w:rsid w:val="008A7665"/>
    <w:rsid w:val="008A7BCC"/>
    <w:rsid w:val="008A7D76"/>
    <w:rsid w:val="008A7EED"/>
    <w:rsid w:val="008B131A"/>
    <w:rsid w:val="008B165B"/>
    <w:rsid w:val="008B305E"/>
    <w:rsid w:val="008B3759"/>
    <w:rsid w:val="008B3C2D"/>
    <w:rsid w:val="008B3E48"/>
    <w:rsid w:val="008B3E8C"/>
    <w:rsid w:val="008B4268"/>
    <w:rsid w:val="008B45F9"/>
    <w:rsid w:val="008B4A8C"/>
    <w:rsid w:val="008B4B3E"/>
    <w:rsid w:val="008B4E3A"/>
    <w:rsid w:val="008B59C7"/>
    <w:rsid w:val="008B5DA0"/>
    <w:rsid w:val="008B5FB5"/>
    <w:rsid w:val="008B6E6A"/>
    <w:rsid w:val="008C11F5"/>
    <w:rsid w:val="008C2AC4"/>
    <w:rsid w:val="008C364C"/>
    <w:rsid w:val="008C37F0"/>
    <w:rsid w:val="008C3E30"/>
    <w:rsid w:val="008C4171"/>
    <w:rsid w:val="008C4A4D"/>
    <w:rsid w:val="008C4BCE"/>
    <w:rsid w:val="008C4D10"/>
    <w:rsid w:val="008C5A59"/>
    <w:rsid w:val="008C5F49"/>
    <w:rsid w:val="008C7279"/>
    <w:rsid w:val="008C7645"/>
    <w:rsid w:val="008C7D75"/>
    <w:rsid w:val="008D0EDE"/>
    <w:rsid w:val="008D1132"/>
    <w:rsid w:val="008D157E"/>
    <w:rsid w:val="008D1B99"/>
    <w:rsid w:val="008D1BAC"/>
    <w:rsid w:val="008D2228"/>
    <w:rsid w:val="008D2256"/>
    <w:rsid w:val="008D24E2"/>
    <w:rsid w:val="008D2A05"/>
    <w:rsid w:val="008D2EDA"/>
    <w:rsid w:val="008D39AC"/>
    <w:rsid w:val="008D3DF3"/>
    <w:rsid w:val="008D4111"/>
    <w:rsid w:val="008D4171"/>
    <w:rsid w:val="008D43D9"/>
    <w:rsid w:val="008D4FCC"/>
    <w:rsid w:val="008D525E"/>
    <w:rsid w:val="008D5415"/>
    <w:rsid w:val="008D5573"/>
    <w:rsid w:val="008D569F"/>
    <w:rsid w:val="008D6285"/>
    <w:rsid w:val="008D6F78"/>
    <w:rsid w:val="008D7597"/>
    <w:rsid w:val="008D7908"/>
    <w:rsid w:val="008D7DE1"/>
    <w:rsid w:val="008E0215"/>
    <w:rsid w:val="008E0239"/>
    <w:rsid w:val="008E0F5D"/>
    <w:rsid w:val="008E15B5"/>
    <w:rsid w:val="008E16BF"/>
    <w:rsid w:val="008E185E"/>
    <w:rsid w:val="008E19CD"/>
    <w:rsid w:val="008E1CBB"/>
    <w:rsid w:val="008E2677"/>
    <w:rsid w:val="008E2A29"/>
    <w:rsid w:val="008E2CBD"/>
    <w:rsid w:val="008E2D32"/>
    <w:rsid w:val="008E2D8B"/>
    <w:rsid w:val="008E3438"/>
    <w:rsid w:val="008E3700"/>
    <w:rsid w:val="008E370B"/>
    <w:rsid w:val="008E5124"/>
    <w:rsid w:val="008E5562"/>
    <w:rsid w:val="008E55EF"/>
    <w:rsid w:val="008E5B5D"/>
    <w:rsid w:val="008E69D4"/>
    <w:rsid w:val="008E74DE"/>
    <w:rsid w:val="008E7510"/>
    <w:rsid w:val="008E7825"/>
    <w:rsid w:val="008E7D7B"/>
    <w:rsid w:val="008F19C7"/>
    <w:rsid w:val="008F1A4E"/>
    <w:rsid w:val="008F237A"/>
    <w:rsid w:val="008F373B"/>
    <w:rsid w:val="008F3E55"/>
    <w:rsid w:val="008F3FAE"/>
    <w:rsid w:val="008F43F9"/>
    <w:rsid w:val="008F45AD"/>
    <w:rsid w:val="008F4868"/>
    <w:rsid w:val="008F4AB1"/>
    <w:rsid w:val="008F4B3D"/>
    <w:rsid w:val="008F4BDE"/>
    <w:rsid w:val="008F55A7"/>
    <w:rsid w:val="008F6237"/>
    <w:rsid w:val="008F64E3"/>
    <w:rsid w:val="008F6ED7"/>
    <w:rsid w:val="008F78E4"/>
    <w:rsid w:val="008F7F4B"/>
    <w:rsid w:val="00900112"/>
    <w:rsid w:val="00900979"/>
    <w:rsid w:val="009019F6"/>
    <w:rsid w:val="00902728"/>
    <w:rsid w:val="00902E36"/>
    <w:rsid w:val="009034DA"/>
    <w:rsid w:val="0090449C"/>
    <w:rsid w:val="009046B6"/>
    <w:rsid w:val="009047B3"/>
    <w:rsid w:val="00904BEE"/>
    <w:rsid w:val="00904DC7"/>
    <w:rsid w:val="00904EC5"/>
    <w:rsid w:val="00905501"/>
    <w:rsid w:val="00905812"/>
    <w:rsid w:val="00906095"/>
    <w:rsid w:val="00906884"/>
    <w:rsid w:val="00907211"/>
    <w:rsid w:val="009077C0"/>
    <w:rsid w:val="0090786F"/>
    <w:rsid w:val="009102E7"/>
    <w:rsid w:val="00910401"/>
    <w:rsid w:val="00910521"/>
    <w:rsid w:val="0091164F"/>
    <w:rsid w:val="0091209D"/>
    <w:rsid w:val="00912284"/>
    <w:rsid w:val="009126E1"/>
    <w:rsid w:val="00912AED"/>
    <w:rsid w:val="0091316C"/>
    <w:rsid w:val="00915B3B"/>
    <w:rsid w:val="0091619C"/>
    <w:rsid w:val="009161BB"/>
    <w:rsid w:val="00916F5E"/>
    <w:rsid w:val="0092070E"/>
    <w:rsid w:val="00920B0D"/>
    <w:rsid w:val="00920DA4"/>
    <w:rsid w:val="00920F70"/>
    <w:rsid w:val="009216D1"/>
    <w:rsid w:val="00921ABA"/>
    <w:rsid w:val="00921BD7"/>
    <w:rsid w:val="00922C16"/>
    <w:rsid w:val="00923184"/>
    <w:rsid w:val="0092382A"/>
    <w:rsid w:val="00924455"/>
    <w:rsid w:val="00924463"/>
    <w:rsid w:val="00925192"/>
    <w:rsid w:val="00925852"/>
    <w:rsid w:val="00926068"/>
    <w:rsid w:val="0092668D"/>
    <w:rsid w:val="00926B51"/>
    <w:rsid w:val="009276DD"/>
    <w:rsid w:val="00927923"/>
    <w:rsid w:val="00930011"/>
    <w:rsid w:val="0093042F"/>
    <w:rsid w:val="0093089B"/>
    <w:rsid w:val="00930F41"/>
    <w:rsid w:val="009327C8"/>
    <w:rsid w:val="00932BC6"/>
    <w:rsid w:val="00933B32"/>
    <w:rsid w:val="00933F7F"/>
    <w:rsid w:val="009340E2"/>
    <w:rsid w:val="009346E9"/>
    <w:rsid w:val="00934798"/>
    <w:rsid w:val="00935099"/>
    <w:rsid w:val="0093548D"/>
    <w:rsid w:val="009358A0"/>
    <w:rsid w:val="00935A30"/>
    <w:rsid w:val="00935D61"/>
    <w:rsid w:val="00937A6D"/>
    <w:rsid w:val="00940390"/>
    <w:rsid w:val="00940891"/>
    <w:rsid w:val="0094093C"/>
    <w:rsid w:val="00940A03"/>
    <w:rsid w:val="00940DEE"/>
    <w:rsid w:val="00940FA9"/>
    <w:rsid w:val="00942A8C"/>
    <w:rsid w:val="00943533"/>
    <w:rsid w:val="0094355C"/>
    <w:rsid w:val="00943AA7"/>
    <w:rsid w:val="00944F11"/>
    <w:rsid w:val="00945A87"/>
    <w:rsid w:val="00945FE7"/>
    <w:rsid w:val="00945FED"/>
    <w:rsid w:val="00946B04"/>
    <w:rsid w:val="00946CF1"/>
    <w:rsid w:val="00946E8F"/>
    <w:rsid w:val="009471F8"/>
    <w:rsid w:val="00947BA4"/>
    <w:rsid w:val="00947F86"/>
    <w:rsid w:val="00950B2F"/>
    <w:rsid w:val="009516F2"/>
    <w:rsid w:val="00951C94"/>
    <w:rsid w:val="00952F95"/>
    <w:rsid w:val="0095364B"/>
    <w:rsid w:val="00953B9D"/>
    <w:rsid w:val="0095437D"/>
    <w:rsid w:val="00954774"/>
    <w:rsid w:val="009548C3"/>
    <w:rsid w:val="009549B8"/>
    <w:rsid w:val="00954A9A"/>
    <w:rsid w:val="00955131"/>
    <w:rsid w:val="00955AD9"/>
    <w:rsid w:val="0095638C"/>
    <w:rsid w:val="009566D1"/>
    <w:rsid w:val="009569FA"/>
    <w:rsid w:val="009575ED"/>
    <w:rsid w:val="009576D2"/>
    <w:rsid w:val="00957E5D"/>
    <w:rsid w:val="00960FD2"/>
    <w:rsid w:val="00961468"/>
    <w:rsid w:val="00961A99"/>
    <w:rsid w:val="00962CB2"/>
    <w:rsid w:val="00962E5C"/>
    <w:rsid w:val="00965034"/>
    <w:rsid w:val="00965C4D"/>
    <w:rsid w:val="00966679"/>
    <w:rsid w:val="00966AB2"/>
    <w:rsid w:val="00966B64"/>
    <w:rsid w:val="0097023E"/>
    <w:rsid w:val="0097108E"/>
    <w:rsid w:val="00971885"/>
    <w:rsid w:val="00971A15"/>
    <w:rsid w:val="00971B11"/>
    <w:rsid w:val="00972B0E"/>
    <w:rsid w:val="00972CEC"/>
    <w:rsid w:val="00972D87"/>
    <w:rsid w:val="00973247"/>
    <w:rsid w:val="00973870"/>
    <w:rsid w:val="00973CC4"/>
    <w:rsid w:val="00974CBB"/>
    <w:rsid w:val="00975614"/>
    <w:rsid w:val="00977612"/>
    <w:rsid w:val="00977711"/>
    <w:rsid w:val="0098006A"/>
    <w:rsid w:val="009801D6"/>
    <w:rsid w:val="0098046A"/>
    <w:rsid w:val="009810B1"/>
    <w:rsid w:val="009814BA"/>
    <w:rsid w:val="00981A13"/>
    <w:rsid w:val="00981B5C"/>
    <w:rsid w:val="00982F10"/>
    <w:rsid w:val="00983253"/>
    <w:rsid w:val="00983DD1"/>
    <w:rsid w:val="00984104"/>
    <w:rsid w:val="00984564"/>
    <w:rsid w:val="009846C7"/>
    <w:rsid w:val="00984C49"/>
    <w:rsid w:val="00985408"/>
    <w:rsid w:val="0098633F"/>
    <w:rsid w:val="009864E3"/>
    <w:rsid w:val="00986DFE"/>
    <w:rsid w:val="00986FF5"/>
    <w:rsid w:val="0098724D"/>
    <w:rsid w:val="009902D8"/>
    <w:rsid w:val="00990313"/>
    <w:rsid w:val="0099171C"/>
    <w:rsid w:val="00992065"/>
    <w:rsid w:val="009920B2"/>
    <w:rsid w:val="00992252"/>
    <w:rsid w:val="009922E8"/>
    <w:rsid w:val="00992C8A"/>
    <w:rsid w:val="009936B9"/>
    <w:rsid w:val="0099460A"/>
    <w:rsid w:val="00994779"/>
    <w:rsid w:val="00994BE1"/>
    <w:rsid w:val="00994DB9"/>
    <w:rsid w:val="0099556A"/>
    <w:rsid w:val="009959B7"/>
    <w:rsid w:val="00995C4B"/>
    <w:rsid w:val="00995C9D"/>
    <w:rsid w:val="00996149"/>
    <w:rsid w:val="00996363"/>
    <w:rsid w:val="00996975"/>
    <w:rsid w:val="00996A74"/>
    <w:rsid w:val="00997382"/>
    <w:rsid w:val="00997787"/>
    <w:rsid w:val="009978C7"/>
    <w:rsid w:val="009A00E3"/>
    <w:rsid w:val="009A0297"/>
    <w:rsid w:val="009A0D66"/>
    <w:rsid w:val="009A130C"/>
    <w:rsid w:val="009A2036"/>
    <w:rsid w:val="009A2521"/>
    <w:rsid w:val="009A2A01"/>
    <w:rsid w:val="009A2BAA"/>
    <w:rsid w:val="009A329E"/>
    <w:rsid w:val="009A355E"/>
    <w:rsid w:val="009A38F7"/>
    <w:rsid w:val="009A3982"/>
    <w:rsid w:val="009A3BF1"/>
    <w:rsid w:val="009A3D44"/>
    <w:rsid w:val="009A3DB9"/>
    <w:rsid w:val="009A3FCF"/>
    <w:rsid w:val="009A4117"/>
    <w:rsid w:val="009A42DF"/>
    <w:rsid w:val="009A42E0"/>
    <w:rsid w:val="009A437E"/>
    <w:rsid w:val="009A4489"/>
    <w:rsid w:val="009A4782"/>
    <w:rsid w:val="009A4D39"/>
    <w:rsid w:val="009A5151"/>
    <w:rsid w:val="009A534B"/>
    <w:rsid w:val="009A55EA"/>
    <w:rsid w:val="009A5F22"/>
    <w:rsid w:val="009A614F"/>
    <w:rsid w:val="009A7055"/>
    <w:rsid w:val="009A725E"/>
    <w:rsid w:val="009A78A1"/>
    <w:rsid w:val="009A7ABC"/>
    <w:rsid w:val="009B0535"/>
    <w:rsid w:val="009B0980"/>
    <w:rsid w:val="009B0A3A"/>
    <w:rsid w:val="009B1C13"/>
    <w:rsid w:val="009B1E87"/>
    <w:rsid w:val="009B2B9A"/>
    <w:rsid w:val="009B2BB0"/>
    <w:rsid w:val="009B44AC"/>
    <w:rsid w:val="009B4549"/>
    <w:rsid w:val="009B4C6A"/>
    <w:rsid w:val="009B5243"/>
    <w:rsid w:val="009B5E40"/>
    <w:rsid w:val="009B6611"/>
    <w:rsid w:val="009B701A"/>
    <w:rsid w:val="009B723F"/>
    <w:rsid w:val="009B74EC"/>
    <w:rsid w:val="009B7BA7"/>
    <w:rsid w:val="009C02A7"/>
    <w:rsid w:val="009C040C"/>
    <w:rsid w:val="009C064F"/>
    <w:rsid w:val="009C0A4E"/>
    <w:rsid w:val="009C0D2C"/>
    <w:rsid w:val="009C1E7F"/>
    <w:rsid w:val="009C248E"/>
    <w:rsid w:val="009C2F06"/>
    <w:rsid w:val="009C347B"/>
    <w:rsid w:val="009C3E69"/>
    <w:rsid w:val="009C450F"/>
    <w:rsid w:val="009C4FE3"/>
    <w:rsid w:val="009C547F"/>
    <w:rsid w:val="009C575C"/>
    <w:rsid w:val="009C6C98"/>
    <w:rsid w:val="009C709A"/>
    <w:rsid w:val="009C725F"/>
    <w:rsid w:val="009C7388"/>
    <w:rsid w:val="009D017E"/>
    <w:rsid w:val="009D02DD"/>
    <w:rsid w:val="009D0571"/>
    <w:rsid w:val="009D0C92"/>
    <w:rsid w:val="009D1B84"/>
    <w:rsid w:val="009D2627"/>
    <w:rsid w:val="009D275D"/>
    <w:rsid w:val="009D2825"/>
    <w:rsid w:val="009D3222"/>
    <w:rsid w:val="009D397C"/>
    <w:rsid w:val="009D3A93"/>
    <w:rsid w:val="009D3C41"/>
    <w:rsid w:val="009D440F"/>
    <w:rsid w:val="009D4429"/>
    <w:rsid w:val="009D57E7"/>
    <w:rsid w:val="009D5FC6"/>
    <w:rsid w:val="009D6AF4"/>
    <w:rsid w:val="009D6B66"/>
    <w:rsid w:val="009D74ED"/>
    <w:rsid w:val="009D7674"/>
    <w:rsid w:val="009D7939"/>
    <w:rsid w:val="009E0068"/>
    <w:rsid w:val="009E048D"/>
    <w:rsid w:val="009E089A"/>
    <w:rsid w:val="009E099B"/>
    <w:rsid w:val="009E0CB1"/>
    <w:rsid w:val="009E1537"/>
    <w:rsid w:val="009E1B32"/>
    <w:rsid w:val="009E2021"/>
    <w:rsid w:val="009E38FF"/>
    <w:rsid w:val="009E448F"/>
    <w:rsid w:val="009E44BD"/>
    <w:rsid w:val="009E4BD1"/>
    <w:rsid w:val="009E5402"/>
    <w:rsid w:val="009E5CB4"/>
    <w:rsid w:val="009E69D0"/>
    <w:rsid w:val="009E793E"/>
    <w:rsid w:val="009E7C7B"/>
    <w:rsid w:val="009F044E"/>
    <w:rsid w:val="009F052A"/>
    <w:rsid w:val="009F0F25"/>
    <w:rsid w:val="009F11C4"/>
    <w:rsid w:val="009F13DE"/>
    <w:rsid w:val="009F2020"/>
    <w:rsid w:val="009F2202"/>
    <w:rsid w:val="009F290D"/>
    <w:rsid w:val="009F3599"/>
    <w:rsid w:val="009F3635"/>
    <w:rsid w:val="009F3E3F"/>
    <w:rsid w:val="009F4126"/>
    <w:rsid w:val="009F4433"/>
    <w:rsid w:val="009F45DC"/>
    <w:rsid w:val="009F4890"/>
    <w:rsid w:val="009F49D1"/>
    <w:rsid w:val="009F49E7"/>
    <w:rsid w:val="009F4DE7"/>
    <w:rsid w:val="009F5073"/>
    <w:rsid w:val="009F5E7E"/>
    <w:rsid w:val="009F5F1F"/>
    <w:rsid w:val="009F678C"/>
    <w:rsid w:val="009F69C0"/>
    <w:rsid w:val="00A00586"/>
    <w:rsid w:val="00A0073C"/>
    <w:rsid w:val="00A02D71"/>
    <w:rsid w:val="00A02DB6"/>
    <w:rsid w:val="00A044CC"/>
    <w:rsid w:val="00A04E85"/>
    <w:rsid w:val="00A0516F"/>
    <w:rsid w:val="00A054D0"/>
    <w:rsid w:val="00A0578C"/>
    <w:rsid w:val="00A058F3"/>
    <w:rsid w:val="00A05B5E"/>
    <w:rsid w:val="00A06351"/>
    <w:rsid w:val="00A06E20"/>
    <w:rsid w:val="00A07287"/>
    <w:rsid w:val="00A07ABE"/>
    <w:rsid w:val="00A07DD8"/>
    <w:rsid w:val="00A1016B"/>
    <w:rsid w:val="00A10591"/>
    <w:rsid w:val="00A105DB"/>
    <w:rsid w:val="00A10EF4"/>
    <w:rsid w:val="00A10FFD"/>
    <w:rsid w:val="00A11234"/>
    <w:rsid w:val="00A1152A"/>
    <w:rsid w:val="00A11B8A"/>
    <w:rsid w:val="00A128E5"/>
    <w:rsid w:val="00A12933"/>
    <w:rsid w:val="00A12A7F"/>
    <w:rsid w:val="00A1331D"/>
    <w:rsid w:val="00A136FA"/>
    <w:rsid w:val="00A13B66"/>
    <w:rsid w:val="00A151C7"/>
    <w:rsid w:val="00A15A0F"/>
    <w:rsid w:val="00A15D4C"/>
    <w:rsid w:val="00A15E3D"/>
    <w:rsid w:val="00A165DA"/>
    <w:rsid w:val="00A176EE"/>
    <w:rsid w:val="00A17C03"/>
    <w:rsid w:val="00A202B6"/>
    <w:rsid w:val="00A20ADD"/>
    <w:rsid w:val="00A2163B"/>
    <w:rsid w:val="00A2168B"/>
    <w:rsid w:val="00A21CC9"/>
    <w:rsid w:val="00A21F09"/>
    <w:rsid w:val="00A22029"/>
    <w:rsid w:val="00A2212C"/>
    <w:rsid w:val="00A221C8"/>
    <w:rsid w:val="00A22B32"/>
    <w:rsid w:val="00A22C69"/>
    <w:rsid w:val="00A23065"/>
    <w:rsid w:val="00A231EE"/>
    <w:rsid w:val="00A232AD"/>
    <w:rsid w:val="00A238A4"/>
    <w:rsid w:val="00A24C28"/>
    <w:rsid w:val="00A24C31"/>
    <w:rsid w:val="00A24CAD"/>
    <w:rsid w:val="00A25177"/>
    <w:rsid w:val="00A256B3"/>
    <w:rsid w:val="00A25771"/>
    <w:rsid w:val="00A25C6C"/>
    <w:rsid w:val="00A25CF6"/>
    <w:rsid w:val="00A26867"/>
    <w:rsid w:val="00A26F5B"/>
    <w:rsid w:val="00A27585"/>
    <w:rsid w:val="00A309C4"/>
    <w:rsid w:val="00A312FC"/>
    <w:rsid w:val="00A32063"/>
    <w:rsid w:val="00A34E83"/>
    <w:rsid w:val="00A356D0"/>
    <w:rsid w:val="00A37183"/>
    <w:rsid w:val="00A379D0"/>
    <w:rsid w:val="00A37D1B"/>
    <w:rsid w:val="00A41798"/>
    <w:rsid w:val="00A421DF"/>
    <w:rsid w:val="00A42367"/>
    <w:rsid w:val="00A42D64"/>
    <w:rsid w:val="00A4312A"/>
    <w:rsid w:val="00A447E2"/>
    <w:rsid w:val="00A451D8"/>
    <w:rsid w:val="00A45604"/>
    <w:rsid w:val="00A45701"/>
    <w:rsid w:val="00A4584D"/>
    <w:rsid w:val="00A45D10"/>
    <w:rsid w:val="00A45DB5"/>
    <w:rsid w:val="00A460F6"/>
    <w:rsid w:val="00A46733"/>
    <w:rsid w:val="00A4688B"/>
    <w:rsid w:val="00A46914"/>
    <w:rsid w:val="00A46A77"/>
    <w:rsid w:val="00A4750E"/>
    <w:rsid w:val="00A476AF"/>
    <w:rsid w:val="00A4793C"/>
    <w:rsid w:val="00A50B55"/>
    <w:rsid w:val="00A50DB7"/>
    <w:rsid w:val="00A520D5"/>
    <w:rsid w:val="00A5235F"/>
    <w:rsid w:val="00A5247E"/>
    <w:rsid w:val="00A52741"/>
    <w:rsid w:val="00A529AE"/>
    <w:rsid w:val="00A52EE7"/>
    <w:rsid w:val="00A53038"/>
    <w:rsid w:val="00A53E96"/>
    <w:rsid w:val="00A542FE"/>
    <w:rsid w:val="00A5689C"/>
    <w:rsid w:val="00A57793"/>
    <w:rsid w:val="00A57919"/>
    <w:rsid w:val="00A57A61"/>
    <w:rsid w:val="00A57E73"/>
    <w:rsid w:val="00A609AA"/>
    <w:rsid w:val="00A60B2C"/>
    <w:rsid w:val="00A60F40"/>
    <w:rsid w:val="00A62841"/>
    <w:rsid w:val="00A62DC0"/>
    <w:rsid w:val="00A630F6"/>
    <w:rsid w:val="00A63362"/>
    <w:rsid w:val="00A63686"/>
    <w:rsid w:val="00A638AD"/>
    <w:rsid w:val="00A6468F"/>
    <w:rsid w:val="00A648A3"/>
    <w:rsid w:val="00A64C4C"/>
    <w:rsid w:val="00A64C99"/>
    <w:rsid w:val="00A64E6A"/>
    <w:rsid w:val="00A65097"/>
    <w:rsid w:val="00A65460"/>
    <w:rsid w:val="00A666A0"/>
    <w:rsid w:val="00A66B52"/>
    <w:rsid w:val="00A66B8F"/>
    <w:rsid w:val="00A672B7"/>
    <w:rsid w:val="00A67819"/>
    <w:rsid w:val="00A67EEE"/>
    <w:rsid w:val="00A705A9"/>
    <w:rsid w:val="00A70874"/>
    <w:rsid w:val="00A709C8"/>
    <w:rsid w:val="00A71554"/>
    <w:rsid w:val="00A7155D"/>
    <w:rsid w:val="00A719D4"/>
    <w:rsid w:val="00A72148"/>
    <w:rsid w:val="00A72F05"/>
    <w:rsid w:val="00A730AD"/>
    <w:rsid w:val="00A73B6B"/>
    <w:rsid w:val="00A73C13"/>
    <w:rsid w:val="00A74A11"/>
    <w:rsid w:val="00A7651B"/>
    <w:rsid w:val="00A767F0"/>
    <w:rsid w:val="00A76BF8"/>
    <w:rsid w:val="00A77C11"/>
    <w:rsid w:val="00A77CEA"/>
    <w:rsid w:val="00A80448"/>
    <w:rsid w:val="00A80542"/>
    <w:rsid w:val="00A8123E"/>
    <w:rsid w:val="00A8190B"/>
    <w:rsid w:val="00A82766"/>
    <w:rsid w:val="00A82B30"/>
    <w:rsid w:val="00A82B5D"/>
    <w:rsid w:val="00A82F4F"/>
    <w:rsid w:val="00A84315"/>
    <w:rsid w:val="00A859A4"/>
    <w:rsid w:val="00A859FA"/>
    <w:rsid w:val="00A865D8"/>
    <w:rsid w:val="00A86DA3"/>
    <w:rsid w:val="00A87429"/>
    <w:rsid w:val="00A87A47"/>
    <w:rsid w:val="00A90B91"/>
    <w:rsid w:val="00A92346"/>
    <w:rsid w:val="00A92443"/>
    <w:rsid w:val="00A9253E"/>
    <w:rsid w:val="00A947C1"/>
    <w:rsid w:val="00A94821"/>
    <w:rsid w:val="00A955D9"/>
    <w:rsid w:val="00A956EF"/>
    <w:rsid w:val="00A95EA7"/>
    <w:rsid w:val="00A96D95"/>
    <w:rsid w:val="00A96E0E"/>
    <w:rsid w:val="00A96E57"/>
    <w:rsid w:val="00A970F7"/>
    <w:rsid w:val="00A97872"/>
    <w:rsid w:val="00AA15D8"/>
    <w:rsid w:val="00AA197F"/>
    <w:rsid w:val="00AA23C9"/>
    <w:rsid w:val="00AA251D"/>
    <w:rsid w:val="00AA2689"/>
    <w:rsid w:val="00AA4225"/>
    <w:rsid w:val="00AA4788"/>
    <w:rsid w:val="00AA5192"/>
    <w:rsid w:val="00AA533F"/>
    <w:rsid w:val="00AA6298"/>
    <w:rsid w:val="00AA6666"/>
    <w:rsid w:val="00AA72ED"/>
    <w:rsid w:val="00AA7753"/>
    <w:rsid w:val="00AA77B3"/>
    <w:rsid w:val="00AA7C22"/>
    <w:rsid w:val="00AA7F8E"/>
    <w:rsid w:val="00AB1922"/>
    <w:rsid w:val="00AB1E00"/>
    <w:rsid w:val="00AB1E29"/>
    <w:rsid w:val="00AB29CD"/>
    <w:rsid w:val="00AB2F33"/>
    <w:rsid w:val="00AB3273"/>
    <w:rsid w:val="00AB397A"/>
    <w:rsid w:val="00AB3D23"/>
    <w:rsid w:val="00AB4BF5"/>
    <w:rsid w:val="00AB4CC4"/>
    <w:rsid w:val="00AB4CE8"/>
    <w:rsid w:val="00AB54D9"/>
    <w:rsid w:val="00AB5615"/>
    <w:rsid w:val="00AB603F"/>
    <w:rsid w:val="00AB6ECD"/>
    <w:rsid w:val="00AB745B"/>
    <w:rsid w:val="00AB75F4"/>
    <w:rsid w:val="00AB791F"/>
    <w:rsid w:val="00AC0AEB"/>
    <w:rsid w:val="00AC1043"/>
    <w:rsid w:val="00AC10FB"/>
    <w:rsid w:val="00AC1793"/>
    <w:rsid w:val="00AC2964"/>
    <w:rsid w:val="00AC345C"/>
    <w:rsid w:val="00AC480E"/>
    <w:rsid w:val="00AC5390"/>
    <w:rsid w:val="00AC53B7"/>
    <w:rsid w:val="00AC5B08"/>
    <w:rsid w:val="00AC5FEC"/>
    <w:rsid w:val="00AC6270"/>
    <w:rsid w:val="00AD0701"/>
    <w:rsid w:val="00AD23F9"/>
    <w:rsid w:val="00AD251A"/>
    <w:rsid w:val="00AD2639"/>
    <w:rsid w:val="00AD2C7D"/>
    <w:rsid w:val="00AD332F"/>
    <w:rsid w:val="00AD360C"/>
    <w:rsid w:val="00AD44F9"/>
    <w:rsid w:val="00AD4FA6"/>
    <w:rsid w:val="00AD5078"/>
    <w:rsid w:val="00AD6FA4"/>
    <w:rsid w:val="00AE00A3"/>
    <w:rsid w:val="00AE01EE"/>
    <w:rsid w:val="00AE0AB1"/>
    <w:rsid w:val="00AE0E2F"/>
    <w:rsid w:val="00AE10CA"/>
    <w:rsid w:val="00AE170B"/>
    <w:rsid w:val="00AE22E3"/>
    <w:rsid w:val="00AE2F99"/>
    <w:rsid w:val="00AE3202"/>
    <w:rsid w:val="00AE4B0C"/>
    <w:rsid w:val="00AE5000"/>
    <w:rsid w:val="00AE57A0"/>
    <w:rsid w:val="00AE5C74"/>
    <w:rsid w:val="00AE6A01"/>
    <w:rsid w:val="00AE7578"/>
    <w:rsid w:val="00AE7AA7"/>
    <w:rsid w:val="00AF00DF"/>
    <w:rsid w:val="00AF1ADA"/>
    <w:rsid w:val="00AF1C94"/>
    <w:rsid w:val="00AF1D13"/>
    <w:rsid w:val="00AF1FDE"/>
    <w:rsid w:val="00AF2521"/>
    <w:rsid w:val="00AF25A8"/>
    <w:rsid w:val="00AF2FB2"/>
    <w:rsid w:val="00AF316A"/>
    <w:rsid w:val="00AF3AF4"/>
    <w:rsid w:val="00AF43B1"/>
    <w:rsid w:val="00AF5B70"/>
    <w:rsid w:val="00AF5CB3"/>
    <w:rsid w:val="00AF61CB"/>
    <w:rsid w:val="00AF68BC"/>
    <w:rsid w:val="00AF70A6"/>
    <w:rsid w:val="00AF75FB"/>
    <w:rsid w:val="00AF7851"/>
    <w:rsid w:val="00AF7BE6"/>
    <w:rsid w:val="00B006D1"/>
    <w:rsid w:val="00B01126"/>
    <w:rsid w:val="00B01A11"/>
    <w:rsid w:val="00B02A00"/>
    <w:rsid w:val="00B039E0"/>
    <w:rsid w:val="00B03E61"/>
    <w:rsid w:val="00B040B8"/>
    <w:rsid w:val="00B04199"/>
    <w:rsid w:val="00B05C0F"/>
    <w:rsid w:val="00B05E73"/>
    <w:rsid w:val="00B0657C"/>
    <w:rsid w:val="00B06C80"/>
    <w:rsid w:val="00B0709F"/>
    <w:rsid w:val="00B07F9C"/>
    <w:rsid w:val="00B110DD"/>
    <w:rsid w:val="00B1173F"/>
    <w:rsid w:val="00B117DB"/>
    <w:rsid w:val="00B11C42"/>
    <w:rsid w:val="00B11EEB"/>
    <w:rsid w:val="00B122C9"/>
    <w:rsid w:val="00B12995"/>
    <w:rsid w:val="00B12A2C"/>
    <w:rsid w:val="00B12B3A"/>
    <w:rsid w:val="00B1313F"/>
    <w:rsid w:val="00B137CC"/>
    <w:rsid w:val="00B13B75"/>
    <w:rsid w:val="00B13B85"/>
    <w:rsid w:val="00B14AFB"/>
    <w:rsid w:val="00B14B20"/>
    <w:rsid w:val="00B14C1F"/>
    <w:rsid w:val="00B15015"/>
    <w:rsid w:val="00B1543A"/>
    <w:rsid w:val="00B15D35"/>
    <w:rsid w:val="00B161EE"/>
    <w:rsid w:val="00B1711C"/>
    <w:rsid w:val="00B17E1E"/>
    <w:rsid w:val="00B2025A"/>
    <w:rsid w:val="00B203A1"/>
    <w:rsid w:val="00B20A0B"/>
    <w:rsid w:val="00B20F13"/>
    <w:rsid w:val="00B21851"/>
    <w:rsid w:val="00B21ED2"/>
    <w:rsid w:val="00B22126"/>
    <w:rsid w:val="00B2251E"/>
    <w:rsid w:val="00B2290F"/>
    <w:rsid w:val="00B22E24"/>
    <w:rsid w:val="00B2323E"/>
    <w:rsid w:val="00B23512"/>
    <w:rsid w:val="00B23E52"/>
    <w:rsid w:val="00B240FA"/>
    <w:rsid w:val="00B24E24"/>
    <w:rsid w:val="00B2556E"/>
    <w:rsid w:val="00B2582E"/>
    <w:rsid w:val="00B25982"/>
    <w:rsid w:val="00B25C30"/>
    <w:rsid w:val="00B26561"/>
    <w:rsid w:val="00B2737C"/>
    <w:rsid w:val="00B27899"/>
    <w:rsid w:val="00B27912"/>
    <w:rsid w:val="00B279C7"/>
    <w:rsid w:val="00B300FB"/>
    <w:rsid w:val="00B309A5"/>
    <w:rsid w:val="00B31329"/>
    <w:rsid w:val="00B31796"/>
    <w:rsid w:val="00B32026"/>
    <w:rsid w:val="00B330A6"/>
    <w:rsid w:val="00B33197"/>
    <w:rsid w:val="00B33784"/>
    <w:rsid w:val="00B33DE4"/>
    <w:rsid w:val="00B34438"/>
    <w:rsid w:val="00B352A9"/>
    <w:rsid w:val="00B36460"/>
    <w:rsid w:val="00B36B6C"/>
    <w:rsid w:val="00B37E36"/>
    <w:rsid w:val="00B401D1"/>
    <w:rsid w:val="00B4025B"/>
    <w:rsid w:val="00B40B98"/>
    <w:rsid w:val="00B4176D"/>
    <w:rsid w:val="00B41E54"/>
    <w:rsid w:val="00B4265D"/>
    <w:rsid w:val="00B428BD"/>
    <w:rsid w:val="00B42AA2"/>
    <w:rsid w:val="00B42BE1"/>
    <w:rsid w:val="00B43213"/>
    <w:rsid w:val="00B434D6"/>
    <w:rsid w:val="00B44A25"/>
    <w:rsid w:val="00B44C6F"/>
    <w:rsid w:val="00B4587F"/>
    <w:rsid w:val="00B45A20"/>
    <w:rsid w:val="00B45CC2"/>
    <w:rsid w:val="00B46853"/>
    <w:rsid w:val="00B46FC7"/>
    <w:rsid w:val="00B47194"/>
    <w:rsid w:val="00B471EA"/>
    <w:rsid w:val="00B47460"/>
    <w:rsid w:val="00B47744"/>
    <w:rsid w:val="00B509BA"/>
    <w:rsid w:val="00B50A50"/>
    <w:rsid w:val="00B514C1"/>
    <w:rsid w:val="00B5181E"/>
    <w:rsid w:val="00B51A4F"/>
    <w:rsid w:val="00B51DAF"/>
    <w:rsid w:val="00B5233E"/>
    <w:rsid w:val="00B527BF"/>
    <w:rsid w:val="00B52848"/>
    <w:rsid w:val="00B528E5"/>
    <w:rsid w:val="00B52917"/>
    <w:rsid w:val="00B55975"/>
    <w:rsid w:val="00B5652F"/>
    <w:rsid w:val="00B575F9"/>
    <w:rsid w:val="00B5770F"/>
    <w:rsid w:val="00B57796"/>
    <w:rsid w:val="00B606F0"/>
    <w:rsid w:val="00B607C4"/>
    <w:rsid w:val="00B61059"/>
    <w:rsid w:val="00B61269"/>
    <w:rsid w:val="00B616BF"/>
    <w:rsid w:val="00B61CAB"/>
    <w:rsid w:val="00B62209"/>
    <w:rsid w:val="00B62335"/>
    <w:rsid w:val="00B624E1"/>
    <w:rsid w:val="00B62884"/>
    <w:rsid w:val="00B639CE"/>
    <w:rsid w:val="00B639F1"/>
    <w:rsid w:val="00B64133"/>
    <w:rsid w:val="00B641D4"/>
    <w:rsid w:val="00B6485F"/>
    <w:rsid w:val="00B6494D"/>
    <w:rsid w:val="00B64CE2"/>
    <w:rsid w:val="00B64D08"/>
    <w:rsid w:val="00B65A80"/>
    <w:rsid w:val="00B65E2B"/>
    <w:rsid w:val="00B66982"/>
    <w:rsid w:val="00B66DCB"/>
    <w:rsid w:val="00B670E4"/>
    <w:rsid w:val="00B674B9"/>
    <w:rsid w:val="00B67722"/>
    <w:rsid w:val="00B67831"/>
    <w:rsid w:val="00B678CB"/>
    <w:rsid w:val="00B678ED"/>
    <w:rsid w:val="00B67944"/>
    <w:rsid w:val="00B707F8"/>
    <w:rsid w:val="00B70F4C"/>
    <w:rsid w:val="00B712C0"/>
    <w:rsid w:val="00B713C6"/>
    <w:rsid w:val="00B71994"/>
    <w:rsid w:val="00B71AE7"/>
    <w:rsid w:val="00B72363"/>
    <w:rsid w:val="00B72BDF"/>
    <w:rsid w:val="00B7324E"/>
    <w:rsid w:val="00B73671"/>
    <w:rsid w:val="00B73979"/>
    <w:rsid w:val="00B73A3F"/>
    <w:rsid w:val="00B741F5"/>
    <w:rsid w:val="00B7436A"/>
    <w:rsid w:val="00B74EFB"/>
    <w:rsid w:val="00B751B7"/>
    <w:rsid w:val="00B75CB3"/>
    <w:rsid w:val="00B76881"/>
    <w:rsid w:val="00B770F2"/>
    <w:rsid w:val="00B779CF"/>
    <w:rsid w:val="00B77FAF"/>
    <w:rsid w:val="00B8045D"/>
    <w:rsid w:val="00B80E1B"/>
    <w:rsid w:val="00B81010"/>
    <w:rsid w:val="00B810BB"/>
    <w:rsid w:val="00B81386"/>
    <w:rsid w:val="00B818F1"/>
    <w:rsid w:val="00B82ADC"/>
    <w:rsid w:val="00B83385"/>
    <w:rsid w:val="00B83E5C"/>
    <w:rsid w:val="00B84482"/>
    <w:rsid w:val="00B84B97"/>
    <w:rsid w:val="00B85693"/>
    <w:rsid w:val="00B86566"/>
    <w:rsid w:val="00B869FC"/>
    <w:rsid w:val="00B86A9F"/>
    <w:rsid w:val="00B86DCC"/>
    <w:rsid w:val="00B86E54"/>
    <w:rsid w:val="00B87055"/>
    <w:rsid w:val="00B87F89"/>
    <w:rsid w:val="00B90B94"/>
    <w:rsid w:val="00B916BD"/>
    <w:rsid w:val="00B91AA3"/>
    <w:rsid w:val="00B91BDD"/>
    <w:rsid w:val="00B91C94"/>
    <w:rsid w:val="00B92239"/>
    <w:rsid w:val="00B9237C"/>
    <w:rsid w:val="00B92966"/>
    <w:rsid w:val="00B92E0B"/>
    <w:rsid w:val="00B9348F"/>
    <w:rsid w:val="00B93614"/>
    <w:rsid w:val="00B9388B"/>
    <w:rsid w:val="00B939F9"/>
    <w:rsid w:val="00B93D2F"/>
    <w:rsid w:val="00B93F09"/>
    <w:rsid w:val="00B94D70"/>
    <w:rsid w:val="00B9513D"/>
    <w:rsid w:val="00B954B8"/>
    <w:rsid w:val="00B961BA"/>
    <w:rsid w:val="00B96F03"/>
    <w:rsid w:val="00B97432"/>
    <w:rsid w:val="00B97FF3"/>
    <w:rsid w:val="00BA03A9"/>
    <w:rsid w:val="00BA0403"/>
    <w:rsid w:val="00BA05C3"/>
    <w:rsid w:val="00BA156C"/>
    <w:rsid w:val="00BA1D73"/>
    <w:rsid w:val="00BA2A50"/>
    <w:rsid w:val="00BA2E89"/>
    <w:rsid w:val="00BA331C"/>
    <w:rsid w:val="00BA43AB"/>
    <w:rsid w:val="00BA44B7"/>
    <w:rsid w:val="00BA4B93"/>
    <w:rsid w:val="00BA4BC8"/>
    <w:rsid w:val="00BA55B9"/>
    <w:rsid w:val="00BA5929"/>
    <w:rsid w:val="00BA7377"/>
    <w:rsid w:val="00BA7619"/>
    <w:rsid w:val="00BA7DB5"/>
    <w:rsid w:val="00BB008B"/>
    <w:rsid w:val="00BB0906"/>
    <w:rsid w:val="00BB1DDF"/>
    <w:rsid w:val="00BB2314"/>
    <w:rsid w:val="00BB2776"/>
    <w:rsid w:val="00BB3A65"/>
    <w:rsid w:val="00BB3B87"/>
    <w:rsid w:val="00BB3E41"/>
    <w:rsid w:val="00BB41B7"/>
    <w:rsid w:val="00BB532D"/>
    <w:rsid w:val="00BB620B"/>
    <w:rsid w:val="00BB64C1"/>
    <w:rsid w:val="00BB65AC"/>
    <w:rsid w:val="00BB6790"/>
    <w:rsid w:val="00BB69BD"/>
    <w:rsid w:val="00BB7AE3"/>
    <w:rsid w:val="00BC004C"/>
    <w:rsid w:val="00BC005D"/>
    <w:rsid w:val="00BC0140"/>
    <w:rsid w:val="00BC03C2"/>
    <w:rsid w:val="00BC04C3"/>
    <w:rsid w:val="00BC11BB"/>
    <w:rsid w:val="00BC14BA"/>
    <w:rsid w:val="00BC1E65"/>
    <w:rsid w:val="00BC2BA3"/>
    <w:rsid w:val="00BC34BB"/>
    <w:rsid w:val="00BC36A4"/>
    <w:rsid w:val="00BC443D"/>
    <w:rsid w:val="00BC5164"/>
    <w:rsid w:val="00BC5A04"/>
    <w:rsid w:val="00BC605D"/>
    <w:rsid w:val="00BC6214"/>
    <w:rsid w:val="00BC65DF"/>
    <w:rsid w:val="00BC6633"/>
    <w:rsid w:val="00BC6C36"/>
    <w:rsid w:val="00BC71CA"/>
    <w:rsid w:val="00BC7714"/>
    <w:rsid w:val="00BD0723"/>
    <w:rsid w:val="00BD0AB3"/>
    <w:rsid w:val="00BD0B43"/>
    <w:rsid w:val="00BD145D"/>
    <w:rsid w:val="00BD1A11"/>
    <w:rsid w:val="00BD2B1B"/>
    <w:rsid w:val="00BD3031"/>
    <w:rsid w:val="00BD48EC"/>
    <w:rsid w:val="00BD530B"/>
    <w:rsid w:val="00BD70F4"/>
    <w:rsid w:val="00BD76B3"/>
    <w:rsid w:val="00BE0744"/>
    <w:rsid w:val="00BE07BE"/>
    <w:rsid w:val="00BE1170"/>
    <w:rsid w:val="00BE245C"/>
    <w:rsid w:val="00BE2891"/>
    <w:rsid w:val="00BE2EFC"/>
    <w:rsid w:val="00BE30B5"/>
    <w:rsid w:val="00BE3264"/>
    <w:rsid w:val="00BE4C65"/>
    <w:rsid w:val="00BE62A7"/>
    <w:rsid w:val="00BE645B"/>
    <w:rsid w:val="00BE6A50"/>
    <w:rsid w:val="00BE6E01"/>
    <w:rsid w:val="00BE7201"/>
    <w:rsid w:val="00BE7A19"/>
    <w:rsid w:val="00BE7A26"/>
    <w:rsid w:val="00BF0BCA"/>
    <w:rsid w:val="00BF0D93"/>
    <w:rsid w:val="00BF14A4"/>
    <w:rsid w:val="00BF17E3"/>
    <w:rsid w:val="00BF1A4D"/>
    <w:rsid w:val="00BF1B06"/>
    <w:rsid w:val="00BF1E89"/>
    <w:rsid w:val="00BF21AC"/>
    <w:rsid w:val="00BF27A3"/>
    <w:rsid w:val="00BF3AF2"/>
    <w:rsid w:val="00BF5A1F"/>
    <w:rsid w:val="00BF5AB9"/>
    <w:rsid w:val="00BF5BC1"/>
    <w:rsid w:val="00BF5DE7"/>
    <w:rsid w:val="00BF679F"/>
    <w:rsid w:val="00BF6F30"/>
    <w:rsid w:val="00C00234"/>
    <w:rsid w:val="00C0088F"/>
    <w:rsid w:val="00C016C2"/>
    <w:rsid w:val="00C025AB"/>
    <w:rsid w:val="00C03530"/>
    <w:rsid w:val="00C038C5"/>
    <w:rsid w:val="00C03BCA"/>
    <w:rsid w:val="00C0444D"/>
    <w:rsid w:val="00C0455E"/>
    <w:rsid w:val="00C048E9"/>
    <w:rsid w:val="00C04961"/>
    <w:rsid w:val="00C04B51"/>
    <w:rsid w:val="00C04D32"/>
    <w:rsid w:val="00C05753"/>
    <w:rsid w:val="00C05A83"/>
    <w:rsid w:val="00C06C03"/>
    <w:rsid w:val="00C0718C"/>
    <w:rsid w:val="00C0725C"/>
    <w:rsid w:val="00C073ED"/>
    <w:rsid w:val="00C07A0C"/>
    <w:rsid w:val="00C07FEF"/>
    <w:rsid w:val="00C1043B"/>
    <w:rsid w:val="00C108B5"/>
    <w:rsid w:val="00C10A67"/>
    <w:rsid w:val="00C1166C"/>
    <w:rsid w:val="00C12195"/>
    <w:rsid w:val="00C12C92"/>
    <w:rsid w:val="00C12F15"/>
    <w:rsid w:val="00C12FC6"/>
    <w:rsid w:val="00C13512"/>
    <w:rsid w:val="00C150E7"/>
    <w:rsid w:val="00C1541E"/>
    <w:rsid w:val="00C158DA"/>
    <w:rsid w:val="00C15FB2"/>
    <w:rsid w:val="00C160B7"/>
    <w:rsid w:val="00C168F0"/>
    <w:rsid w:val="00C176EB"/>
    <w:rsid w:val="00C20611"/>
    <w:rsid w:val="00C206B1"/>
    <w:rsid w:val="00C2075B"/>
    <w:rsid w:val="00C21366"/>
    <w:rsid w:val="00C21D94"/>
    <w:rsid w:val="00C222FE"/>
    <w:rsid w:val="00C224E3"/>
    <w:rsid w:val="00C22861"/>
    <w:rsid w:val="00C22B50"/>
    <w:rsid w:val="00C2323A"/>
    <w:rsid w:val="00C23629"/>
    <w:rsid w:val="00C2399C"/>
    <w:rsid w:val="00C2599F"/>
    <w:rsid w:val="00C26BF6"/>
    <w:rsid w:val="00C26FC9"/>
    <w:rsid w:val="00C2728F"/>
    <w:rsid w:val="00C275DF"/>
    <w:rsid w:val="00C27E85"/>
    <w:rsid w:val="00C3116F"/>
    <w:rsid w:val="00C3135E"/>
    <w:rsid w:val="00C3137F"/>
    <w:rsid w:val="00C3183A"/>
    <w:rsid w:val="00C3240E"/>
    <w:rsid w:val="00C3267D"/>
    <w:rsid w:val="00C32B52"/>
    <w:rsid w:val="00C33025"/>
    <w:rsid w:val="00C335BF"/>
    <w:rsid w:val="00C33BAB"/>
    <w:rsid w:val="00C3427A"/>
    <w:rsid w:val="00C34E2F"/>
    <w:rsid w:val="00C365C0"/>
    <w:rsid w:val="00C36971"/>
    <w:rsid w:val="00C36ED9"/>
    <w:rsid w:val="00C376AF"/>
    <w:rsid w:val="00C4085A"/>
    <w:rsid w:val="00C40C36"/>
    <w:rsid w:val="00C41696"/>
    <w:rsid w:val="00C4206D"/>
    <w:rsid w:val="00C42D82"/>
    <w:rsid w:val="00C42F04"/>
    <w:rsid w:val="00C4373B"/>
    <w:rsid w:val="00C43FDD"/>
    <w:rsid w:val="00C445FE"/>
    <w:rsid w:val="00C44CF7"/>
    <w:rsid w:val="00C44E53"/>
    <w:rsid w:val="00C451CE"/>
    <w:rsid w:val="00C4566E"/>
    <w:rsid w:val="00C46147"/>
    <w:rsid w:val="00C46309"/>
    <w:rsid w:val="00C46C9E"/>
    <w:rsid w:val="00C47126"/>
    <w:rsid w:val="00C4716A"/>
    <w:rsid w:val="00C47A13"/>
    <w:rsid w:val="00C504C7"/>
    <w:rsid w:val="00C50E8A"/>
    <w:rsid w:val="00C50F73"/>
    <w:rsid w:val="00C51D0F"/>
    <w:rsid w:val="00C52111"/>
    <w:rsid w:val="00C5305D"/>
    <w:rsid w:val="00C534E6"/>
    <w:rsid w:val="00C53DBF"/>
    <w:rsid w:val="00C545BA"/>
    <w:rsid w:val="00C54A00"/>
    <w:rsid w:val="00C54D30"/>
    <w:rsid w:val="00C550A2"/>
    <w:rsid w:val="00C551D9"/>
    <w:rsid w:val="00C558B5"/>
    <w:rsid w:val="00C561CB"/>
    <w:rsid w:val="00C56B84"/>
    <w:rsid w:val="00C57089"/>
    <w:rsid w:val="00C5781E"/>
    <w:rsid w:val="00C607DF"/>
    <w:rsid w:val="00C61642"/>
    <w:rsid w:val="00C61D21"/>
    <w:rsid w:val="00C6257C"/>
    <w:rsid w:val="00C62B1A"/>
    <w:rsid w:val="00C63048"/>
    <w:rsid w:val="00C63956"/>
    <w:rsid w:val="00C63C8B"/>
    <w:rsid w:val="00C63D60"/>
    <w:rsid w:val="00C63E89"/>
    <w:rsid w:val="00C6444D"/>
    <w:rsid w:val="00C6456D"/>
    <w:rsid w:val="00C6457A"/>
    <w:rsid w:val="00C64FFF"/>
    <w:rsid w:val="00C65023"/>
    <w:rsid w:val="00C65EF6"/>
    <w:rsid w:val="00C66440"/>
    <w:rsid w:val="00C66893"/>
    <w:rsid w:val="00C66E60"/>
    <w:rsid w:val="00C670B1"/>
    <w:rsid w:val="00C6744E"/>
    <w:rsid w:val="00C70820"/>
    <w:rsid w:val="00C70F1F"/>
    <w:rsid w:val="00C71C4F"/>
    <w:rsid w:val="00C71FF1"/>
    <w:rsid w:val="00C72688"/>
    <w:rsid w:val="00C72DEB"/>
    <w:rsid w:val="00C72EBC"/>
    <w:rsid w:val="00C72ECE"/>
    <w:rsid w:val="00C739EC"/>
    <w:rsid w:val="00C73AC6"/>
    <w:rsid w:val="00C74105"/>
    <w:rsid w:val="00C74752"/>
    <w:rsid w:val="00C7507C"/>
    <w:rsid w:val="00C7563E"/>
    <w:rsid w:val="00C75D83"/>
    <w:rsid w:val="00C76B57"/>
    <w:rsid w:val="00C770E3"/>
    <w:rsid w:val="00C77CF5"/>
    <w:rsid w:val="00C8043D"/>
    <w:rsid w:val="00C80441"/>
    <w:rsid w:val="00C8122E"/>
    <w:rsid w:val="00C812A4"/>
    <w:rsid w:val="00C81386"/>
    <w:rsid w:val="00C81DE0"/>
    <w:rsid w:val="00C81FC3"/>
    <w:rsid w:val="00C82B56"/>
    <w:rsid w:val="00C82F01"/>
    <w:rsid w:val="00C836A5"/>
    <w:rsid w:val="00C83D2A"/>
    <w:rsid w:val="00C847F9"/>
    <w:rsid w:val="00C84972"/>
    <w:rsid w:val="00C84F95"/>
    <w:rsid w:val="00C85745"/>
    <w:rsid w:val="00C857D4"/>
    <w:rsid w:val="00C85BF8"/>
    <w:rsid w:val="00C8639D"/>
    <w:rsid w:val="00C86770"/>
    <w:rsid w:val="00C86931"/>
    <w:rsid w:val="00C8733C"/>
    <w:rsid w:val="00C877C5"/>
    <w:rsid w:val="00C90812"/>
    <w:rsid w:val="00C910CF"/>
    <w:rsid w:val="00C911D7"/>
    <w:rsid w:val="00C91851"/>
    <w:rsid w:val="00C92361"/>
    <w:rsid w:val="00C9244A"/>
    <w:rsid w:val="00C92E43"/>
    <w:rsid w:val="00C933DB"/>
    <w:rsid w:val="00C935C9"/>
    <w:rsid w:val="00C9375E"/>
    <w:rsid w:val="00C93995"/>
    <w:rsid w:val="00C93D78"/>
    <w:rsid w:val="00C9423B"/>
    <w:rsid w:val="00C953AF"/>
    <w:rsid w:val="00C95E3A"/>
    <w:rsid w:val="00C97420"/>
    <w:rsid w:val="00C97DAC"/>
    <w:rsid w:val="00CA0191"/>
    <w:rsid w:val="00CA0823"/>
    <w:rsid w:val="00CA19A7"/>
    <w:rsid w:val="00CA2405"/>
    <w:rsid w:val="00CA35E9"/>
    <w:rsid w:val="00CA35F2"/>
    <w:rsid w:val="00CA36AC"/>
    <w:rsid w:val="00CA3791"/>
    <w:rsid w:val="00CA4068"/>
    <w:rsid w:val="00CA41FD"/>
    <w:rsid w:val="00CA489A"/>
    <w:rsid w:val="00CA546B"/>
    <w:rsid w:val="00CA5B76"/>
    <w:rsid w:val="00CA67F9"/>
    <w:rsid w:val="00CA70F4"/>
    <w:rsid w:val="00CA74C7"/>
    <w:rsid w:val="00CA792B"/>
    <w:rsid w:val="00CA7D33"/>
    <w:rsid w:val="00CB044C"/>
    <w:rsid w:val="00CB06BF"/>
    <w:rsid w:val="00CB08EB"/>
    <w:rsid w:val="00CB1025"/>
    <w:rsid w:val="00CB1F19"/>
    <w:rsid w:val="00CB21B2"/>
    <w:rsid w:val="00CB222C"/>
    <w:rsid w:val="00CB2A84"/>
    <w:rsid w:val="00CB30DD"/>
    <w:rsid w:val="00CB3174"/>
    <w:rsid w:val="00CB41C0"/>
    <w:rsid w:val="00CB4396"/>
    <w:rsid w:val="00CB44BE"/>
    <w:rsid w:val="00CB46EA"/>
    <w:rsid w:val="00CB5885"/>
    <w:rsid w:val="00CB596B"/>
    <w:rsid w:val="00CB5A12"/>
    <w:rsid w:val="00CB5C58"/>
    <w:rsid w:val="00CB6380"/>
    <w:rsid w:val="00CB6D63"/>
    <w:rsid w:val="00CB7E90"/>
    <w:rsid w:val="00CC19C6"/>
    <w:rsid w:val="00CC1AEB"/>
    <w:rsid w:val="00CC2480"/>
    <w:rsid w:val="00CC2B24"/>
    <w:rsid w:val="00CC3EA0"/>
    <w:rsid w:val="00CC4B92"/>
    <w:rsid w:val="00CC5957"/>
    <w:rsid w:val="00CC638E"/>
    <w:rsid w:val="00CC6943"/>
    <w:rsid w:val="00CC717B"/>
    <w:rsid w:val="00CC7A28"/>
    <w:rsid w:val="00CD0284"/>
    <w:rsid w:val="00CD066C"/>
    <w:rsid w:val="00CD1ABB"/>
    <w:rsid w:val="00CD2028"/>
    <w:rsid w:val="00CD20B2"/>
    <w:rsid w:val="00CD38CF"/>
    <w:rsid w:val="00CD3C44"/>
    <w:rsid w:val="00CD41B8"/>
    <w:rsid w:val="00CD433A"/>
    <w:rsid w:val="00CD4562"/>
    <w:rsid w:val="00CD4C3A"/>
    <w:rsid w:val="00CD6197"/>
    <w:rsid w:val="00CD62DD"/>
    <w:rsid w:val="00CD6B48"/>
    <w:rsid w:val="00CD707A"/>
    <w:rsid w:val="00CD7937"/>
    <w:rsid w:val="00CE0493"/>
    <w:rsid w:val="00CE0589"/>
    <w:rsid w:val="00CE05E4"/>
    <w:rsid w:val="00CE09C1"/>
    <w:rsid w:val="00CE136A"/>
    <w:rsid w:val="00CE2BCE"/>
    <w:rsid w:val="00CE31C9"/>
    <w:rsid w:val="00CE39AC"/>
    <w:rsid w:val="00CE3D43"/>
    <w:rsid w:val="00CE437A"/>
    <w:rsid w:val="00CE4AA6"/>
    <w:rsid w:val="00CE5142"/>
    <w:rsid w:val="00CE658F"/>
    <w:rsid w:val="00CE6B5C"/>
    <w:rsid w:val="00CE703D"/>
    <w:rsid w:val="00CE7081"/>
    <w:rsid w:val="00CE7B76"/>
    <w:rsid w:val="00CF0985"/>
    <w:rsid w:val="00CF1239"/>
    <w:rsid w:val="00CF199A"/>
    <w:rsid w:val="00CF20AD"/>
    <w:rsid w:val="00CF3DA3"/>
    <w:rsid w:val="00CF4879"/>
    <w:rsid w:val="00CF572D"/>
    <w:rsid w:val="00CF578B"/>
    <w:rsid w:val="00CF5A2E"/>
    <w:rsid w:val="00CF707A"/>
    <w:rsid w:val="00CF7DC1"/>
    <w:rsid w:val="00D00DB0"/>
    <w:rsid w:val="00D00DBA"/>
    <w:rsid w:val="00D01612"/>
    <w:rsid w:val="00D01C92"/>
    <w:rsid w:val="00D0350B"/>
    <w:rsid w:val="00D03606"/>
    <w:rsid w:val="00D03B22"/>
    <w:rsid w:val="00D0582C"/>
    <w:rsid w:val="00D05B3A"/>
    <w:rsid w:val="00D060B6"/>
    <w:rsid w:val="00D0677E"/>
    <w:rsid w:val="00D06B92"/>
    <w:rsid w:val="00D06C39"/>
    <w:rsid w:val="00D0758F"/>
    <w:rsid w:val="00D077EB"/>
    <w:rsid w:val="00D101B0"/>
    <w:rsid w:val="00D10704"/>
    <w:rsid w:val="00D10A17"/>
    <w:rsid w:val="00D10A3C"/>
    <w:rsid w:val="00D10CC2"/>
    <w:rsid w:val="00D11668"/>
    <w:rsid w:val="00D11819"/>
    <w:rsid w:val="00D12904"/>
    <w:rsid w:val="00D133D6"/>
    <w:rsid w:val="00D1341F"/>
    <w:rsid w:val="00D137C8"/>
    <w:rsid w:val="00D13F1A"/>
    <w:rsid w:val="00D143AF"/>
    <w:rsid w:val="00D14551"/>
    <w:rsid w:val="00D147FE"/>
    <w:rsid w:val="00D15111"/>
    <w:rsid w:val="00D1511B"/>
    <w:rsid w:val="00D15E7E"/>
    <w:rsid w:val="00D160F8"/>
    <w:rsid w:val="00D16159"/>
    <w:rsid w:val="00D171B5"/>
    <w:rsid w:val="00D17A05"/>
    <w:rsid w:val="00D20119"/>
    <w:rsid w:val="00D20568"/>
    <w:rsid w:val="00D21EFA"/>
    <w:rsid w:val="00D224F8"/>
    <w:rsid w:val="00D231A6"/>
    <w:rsid w:val="00D24C1A"/>
    <w:rsid w:val="00D25D71"/>
    <w:rsid w:val="00D26169"/>
    <w:rsid w:val="00D270E0"/>
    <w:rsid w:val="00D2744A"/>
    <w:rsid w:val="00D27BAF"/>
    <w:rsid w:val="00D27F36"/>
    <w:rsid w:val="00D3060B"/>
    <w:rsid w:val="00D30C04"/>
    <w:rsid w:val="00D30E25"/>
    <w:rsid w:val="00D3108D"/>
    <w:rsid w:val="00D3117D"/>
    <w:rsid w:val="00D314D8"/>
    <w:rsid w:val="00D318CF"/>
    <w:rsid w:val="00D32E64"/>
    <w:rsid w:val="00D331E1"/>
    <w:rsid w:val="00D33452"/>
    <w:rsid w:val="00D33A27"/>
    <w:rsid w:val="00D34276"/>
    <w:rsid w:val="00D34E0B"/>
    <w:rsid w:val="00D34F4D"/>
    <w:rsid w:val="00D35BD4"/>
    <w:rsid w:val="00D36213"/>
    <w:rsid w:val="00D368D8"/>
    <w:rsid w:val="00D37282"/>
    <w:rsid w:val="00D374C9"/>
    <w:rsid w:val="00D37A29"/>
    <w:rsid w:val="00D4005E"/>
    <w:rsid w:val="00D40A1F"/>
    <w:rsid w:val="00D41AAF"/>
    <w:rsid w:val="00D41C4E"/>
    <w:rsid w:val="00D42245"/>
    <w:rsid w:val="00D42A4D"/>
    <w:rsid w:val="00D42D67"/>
    <w:rsid w:val="00D431D2"/>
    <w:rsid w:val="00D43338"/>
    <w:rsid w:val="00D43A5D"/>
    <w:rsid w:val="00D43C06"/>
    <w:rsid w:val="00D43D14"/>
    <w:rsid w:val="00D442EF"/>
    <w:rsid w:val="00D44512"/>
    <w:rsid w:val="00D45123"/>
    <w:rsid w:val="00D455D5"/>
    <w:rsid w:val="00D45783"/>
    <w:rsid w:val="00D45D5E"/>
    <w:rsid w:val="00D471F8"/>
    <w:rsid w:val="00D479AF"/>
    <w:rsid w:val="00D47A3A"/>
    <w:rsid w:val="00D47D13"/>
    <w:rsid w:val="00D47FC5"/>
    <w:rsid w:val="00D5012E"/>
    <w:rsid w:val="00D51B6F"/>
    <w:rsid w:val="00D52B4E"/>
    <w:rsid w:val="00D5336B"/>
    <w:rsid w:val="00D53587"/>
    <w:rsid w:val="00D53611"/>
    <w:rsid w:val="00D543B8"/>
    <w:rsid w:val="00D55447"/>
    <w:rsid w:val="00D56ABE"/>
    <w:rsid w:val="00D56DA5"/>
    <w:rsid w:val="00D5749C"/>
    <w:rsid w:val="00D575D4"/>
    <w:rsid w:val="00D57A45"/>
    <w:rsid w:val="00D57FB6"/>
    <w:rsid w:val="00D60219"/>
    <w:rsid w:val="00D602D4"/>
    <w:rsid w:val="00D60780"/>
    <w:rsid w:val="00D608D3"/>
    <w:rsid w:val="00D60BB2"/>
    <w:rsid w:val="00D60BE8"/>
    <w:rsid w:val="00D612EB"/>
    <w:rsid w:val="00D61701"/>
    <w:rsid w:val="00D62171"/>
    <w:rsid w:val="00D62307"/>
    <w:rsid w:val="00D6231E"/>
    <w:rsid w:val="00D62CC5"/>
    <w:rsid w:val="00D63AC0"/>
    <w:rsid w:val="00D63F1F"/>
    <w:rsid w:val="00D6451F"/>
    <w:rsid w:val="00D64C60"/>
    <w:rsid w:val="00D64E12"/>
    <w:rsid w:val="00D64F2D"/>
    <w:rsid w:val="00D650BA"/>
    <w:rsid w:val="00D66336"/>
    <w:rsid w:val="00D66447"/>
    <w:rsid w:val="00D66A34"/>
    <w:rsid w:val="00D7014A"/>
    <w:rsid w:val="00D70DB7"/>
    <w:rsid w:val="00D7145D"/>
    <w:rsid w:val="00D71546"/>
    <w:rsid w:val="00D715AF"/>
    <w:rsid w:val="00D717B8"/>
    <w:rsid w:val="00D71C43"/>
    <w:rsid w:val="00D7209C"/>
    <w:rsid w:val="00D73016"/>
    <w:rsid w:val="00D732D5"/>
    <w:rsid w:val="00D73523"/>
    <w:rsid w:val="00D7478B"/>
    <w:rsid w:val="00D74D10"/>
    <w:rsid w:val="00D7571F"/>
    <w:rsid w:val="00D75F72"/>
    <w:rsid w:val="00D76505"/>
    <w:rsid w:val="00D76635"/>
    <w:rsid w:val="00D76705"/>
    <w:rsid w:val="00D76A1E"/>
    <w:rsid w:val="00D76C99"/>
    <w:rsid w:val="00D77D0E"/>
    <w:rsid w:val="00D77D15"/>
    <w:rsid w:val="00D80107"/>
    <w:rsid w:val="00D8198C"/>
    <w:rsid w:val="00D81E27"/>
    <w:rsid w:val="00D81FA2"/>
    <w:rsid w:val="00D81FCD"/>
    <w:rsid w:val="00D82307"/>
    <w:rsid w:val="00D82632"/>
    <w:rsid w:val="00D82A98"/>
    <w:rsid w:val="00D82C7C"/>
    <w:rsid w:val="00D83E28"/>
    <w:rsid w:val="00D841DC"/>
    <w:rsid w:val="00D84DE6"/>
    <w:rsid w:val="00D85D26"/>
    <w:rsid w:val="00D85DBE"/>
    <w:rsid w:val="00D86DB5"/>
    <w:rsid w:val="00D875E0"/>
    <w:rsid w:val="00D87990"/>
    <w:rsid w:val="00D87FF1"/>
    <w:rsid w:val="00D90140"/>
    <w:rsid w:val="00D90966"/>
    <w:rsid w:val="00D9100B"/>
    <w:rsid w:val="00D91C64"/>
    <w:rsid w:val="00D920C9"/>
    <w:rsid w:val="00D922AC"/>
    <w:rsid w:val="00D92843"/>
    <w:rsid w:val="00D92F86"/>
    <w:rsid w:val="00D9332A"/>
    <w:rsid w:val="00D940AF"/>
    <w:rsid w:val="00D94A62"/>
    <w:rsid w:val="00D94CD0"/>
    <w:rsid w:val="00D95A42"/>
    <w:rsid w:val="00D95AB5"/>
    <w:rsid w:val="00D95B58"/>
    <w:rsid w:val="00D95DDC"/>
    <w:rsid w:val="00D95E4A"/>
    <w:rsid w:val="00D96939"/>
    <w:rsid w:val="00D96AC5"/>
    <w:rsid w:val="00D9726C"/>
    <w:rsid w:val="00DA05B7"/>
    <w:rsid w:val="00DA0C94"/>
    <w:rsid w:val="00DA0D3A"/>
    <w:rsid w:val="00DA0E2A"/>
    <w:rsid w:val="00DA0ECB"/>
    <w:rsid w:val="00DA16BA"/>
    <w:rsid w:val="00DA17B3"/>
    <w:rsid w:val="00DA1824"/>
    <w:rsid w:val="00DA1D30"/>
    <w:rsid w:val="00DA1F17"/>
    <w:rsid w:val="00DA2761"/>
    <w:rsid w:val="00DA3BE5"/>
    <w:rsid w:val="00DA43A3"/>
    <w:rsid w:val="00DA4809"/>
    <w:rsid w:val="00DA511F"/>
    <w:rsid w:val="00DA5903"/>
    <w:rsid w:val="00DA653E"/>
    <w:rsid w:val="00DA67BC"/>
    <w:rsid w:val="00DA6A7B"/>
    <w:rsid w:val="00DA741C"/>
    <w:rsid w:val="00DA7442"/>
    <w:rsid w:val="00DA7A14"/>
    <w:rsid w:val="00DB0321"/>
    <w:rsid w:val="00DB07EE"/>
    <w:rsid w:val="00DB132D"/>
    <w:rsid w:val="00DB1DCE"/>
    <w:rsid w:val="00DB2247"/>
    <w:rsid w:val="00DB2D41"/>
    <w:rsid w:val="00DB3159"/>
    <w:rsid w:val="00DB32F6"/>
    <w:rsid w:val="00DB482C"/>
    <w:rsid w:val="00DB4AA6"/>
    <w:rsid w:val="00DB5B82"/>
    <w:rsid w:val="00DB5CC2"/>
    <w:rsid w:val="00DB627B"/>
    <w:rsid w:val="00DB64BA"/>
    <w:rsid w:val="00DB6AE1"/>
    <w:rsid w:val="00DB6EB8"/>
    <w:rsid w:val="00DB6FA8"/>
    <w:rsid w:val="00DB729A"/>
    <w:rsid w:val="00DB74BA"/>
    <w:rsid w:val="00DC0010"/>
    <w:rsid w:val="00DC020A"/>
    <w:rsid w:val="00DC12E1"/>
    <w:rsid w:val="00DC1767"/>
    <w:rsid w:val="00DC21BC"/>
    <w:rsid w:val="00DC3009"/>
    <w:rsid w:val="00DC3DCC"/>
    <w:rsid w:val="00DC4EC6"/>
    <w:rsid w:val="00DC50A4"/>
    <w:rsid w:val="00DC5546"/>
    <w:rsid w:val="00DC5E3D"/>
    <w:rsid w:val="00DC6313"/>
    <w:rsid w:val="00DC6B50"/>
    <w:rsid w:val="00DC6C10"/>
    <w:rsid w:val="00DD04AB"/>
    <w:rsid w:val="00DD0718"/>
    <w:rsid w:val="00DD1072"/>
    <w:rsid w:val="00DD132E"/>
    <w:rsid w:val="00DD1D8C"/>
    <w:rsid w:val="00DD21D7"/>
    <w:rsid w:val="00DD2662"/>
    <w:rsid w:val="00DD2950"/>
    <w:rsid w:val="00DD298E"/>
    <w:rsid w:val="00DD33B6"/>
    <w:rsid w:val="00DD35B7"/>
    <w:rsid w:val="00DD42AC"/>
    <w:rsid w:val="00DD4533"/>
    <w:rsid w:val="00DD4E7E"/>
    <w:rsid w:val="00DD4F79"/>
    <w:rsid w:val="00DD5372"/>
    <w:rsid w:val="00DD5522"/>
    <w:rsid w:val="00DD5F12"/>
    <w:rsid w:val="00DD6723"/>
    <w:rsid w:val="00DD7362"/>
    <w:rsid w:val="00DE0358"/>
    <w:rsid w:val="00DE0422"/>
    <w:rsid w:val="00DE050A"/>
    <w:rsid w:val="00DE1676"/>
    <w:rsid w:val="00DE2C66"/>
    <w:rsid w:val="00DE2CB8"/>
    <w:rsid w:val="00DE2F5A"/>
    <w:rsid w:val="00DE356D"/>
    <w:rsid w:val="00DE493D"/>
    <w:rsid w:val="00DE4970"/>
    <w:rsid w:val="00DE4998"/>
    <w:rsid w:val="00DE5420"/>
    <w:rsid w:val="00DE69F9"/>
    <w:rsid w:val="00DE6A36"/>
    <w:rsid w:val="00DE76EC"/>
    <w:rsid w:val="00DE7A13"/>
    <w:rsid w:val="00DF0CB2"/>
    <w:rsid w:val="00DF1BD2"/>
    <w:rsid w:val="00DF1DA4"/>
    <w:rsid w:val="00DF1F39"/>
    <w:rsid w:val="00DF2093"/>
    <w:rsid w:val="00DF25C9"/>
    <w:rsid w:val="00DF28B4"/>
    <w:rsid w:val="00DF3BB9"/>
    <w:rsid w:val="00DF3FAD"/>
    <w:rsid w:val="00DF4239"/>
    <w:rsid w:val="00DF4474"/>
    <w:rsid w:val="00DF5729"/>
    <w:rsid w:val="00DF6DF0"/>
    <w:rsid w:val="00DF6E66"/>
    <w:rsid w:val="00DF6E93"/>
    <w:rsid w:val="00DF778B"/>
    <w:rsid w:val="00DF7CFB"/>
    <w:rsid w:val="00DF7D0B"/>
    <w:rsid w:val="00DF7DF5"/>
    <w:rsid w:val="00E006B9"/>
    <w:rsid w:val="00E0077E"/>
    <w:rsid w:val="00E00E67"/>
    <w:rsid w:val="00E00FE5"/>
    <w:rsid w:val="00E016E5"/>
    <w:rsid w:val="00E036D1"/>
    <w:rsid w:val="00E03CD4"/>
    <w:rsid w:val="00E03F1E"/>
    <w:rsid w:val="00E03F45"/>
    <w:rsid w:val="00E04AC7"/>
    <w:rsid w:val="00E066E4"/>
    <w:rsid w:val="00E06919"/>
    <w:rsid w:val="00E06AE8"/>
    <w:rsid w:val="00E072FB"/>
    <w:rsid w:val="00E1017B"/>
    <w:rsid w:val="00E10230"/>
    <w:rsid w:val="00E10282"/>
    <w:rsid w:val="00E10331"/>
    <w:rsid w:val="00E11511"/>
    <w:rsid w:val="00E14BF0"/>
    <w:rsid w:val="00E14D01"/>
    <w:rsid w:val="00E14F91"/>
    <w:rsid w:val="00E1536A"/>
    <w:rsid w:val="00E154F0"/>
    <w:rsid w:val="00E1554B"/>
    <w:rsid w:val="00E15661"/>
    <w:rsid w:val="00E15A77"/>
    <w:rsid w:val="00E15EE9"/>
    <w:rsid w:val="00E16C6B"/>
    <w:rsid w:val="00E17F95"/>
    <w:rsid w:val="00E20211"/>
    <w:rsid w:val="00E20277"/>
    <w:rsid w:val="00E20592"/>
    <w:rsid w:val="00E20652"/>
    <w:rsid w:val="00E212F5"/>
    <w:rsid w:val="00E21598"/>
    <w:rsid w:val="00E21653"/>
    <w:rsid w:val="00E21AFB"/>
    <w:rsid w:val="00E21F46"/>
    <w:rsid w:val="00E22328"/>
    <w:rsid w:val="00E224AF"/>
    <w:rsid w:val="00E22646"/>
    <w:rsid w:val="00E229B1"/>
    <w:rsid w:val="00E2360B"/>
    <w:rsid w:val="00E2365A"/>
    <w:rsid w:val="00E23822"/>
    <w:rsid w:val="00E24580"/>
    <w:rsid w:val="00E24FEF"/>
    <w:rsid w:val="00E25415"/>
    <w:rsid w:val="00E2568E"/>
    <w:rsid w:val="00E2582C"/>
    <w:rsid w:val="00E25C92"/>
    <w:rsid w:val="00E26517"/>
    <w:rsid w:val="00E26E53"/>
    <w:rsid w:val="00E27293"/>
    <w:rsid w:val="00E27CC4"/>
    <w:rsid w:val="00E27DF3"/>
    <w:rsid w:val="00E300D6"/>
    <w:rsid w:val="00E30620"/>
    <w:rsid w:val="00E30BA8"/>
    <w:rsid w:val="00E31038"/>
    <w:rsid w:val="00E328EC"/>
    <w:rsid w:val="00E32E8B"/>
    <w:rsid w:val="00E3336F"/>
    <w:rsid w:val="00E3355B"/>
    <w:rsid w:val="00E336BC"/>
    <w:rsid w:val="00E33CEE"/>
    <w:rsid w:val="00E352E9"/>
    <w:rsid w:val="00E368D5"/>
    <w:rsid w:val="00E37629"/>
    <w:rsid w:val="00E3764F"/>
    <w:rsid w:val="00E37726"/>
    <w:rsid w:val="00E412D0"/>
    <w:rsid w:val="00E415B2"/>
    <w:rsid w:val="00E4186C"/>
    <w:rsid w:val="00E41D13"/>
    <w:rsid w:val="00E41F4B"/>
    <w:rsid w:val="00E42907"/>
    <w:rsid w:val="00E42CB6"/>
    <w:rsid w:val="00E43600"/>
    <w:rsid w:val="00E43C0B"/>
    <w:rsid w:val="00E44552"/>
    <w:rsid w:val="00E449FA"/>
    <w:rsid w:val="00E44A92"/>
    <w:rsid w:val="00E45247"/>
    <w:rsid w:val="00E45546"/>
    <w:rsid w:val="00E4581D"/>
    <w:rsid w:val="00E46921"/>
    <w:rsid w:val="00E46E02"/>
    <w:rsid w:val="00E46F72"/>
    <w:rsid w:val="00E50073"/>
    <w:rsid w:val="00E503E3"/>
    <w:rsid w:val="00E50F7D"/>
    <w:rsid w:val="00E518D7"/>
    <w:rsid w:val="00E52544"/>
    <w:rsid w:val="00E54052"/>
    <w:rsid w:val="00E546C9"/>
    <w:rsid w:val="00E54805"/>
    <w:rsid w:val="00E54E19"/>
    <w:rsid w:val="00E55738"/>
    <w:rsid w:val="00E55CAA"/>
    <w:rsid w:val="00E568C4"/>
    <w:rsid w:val="00E56C38"/>
    <w:rsid w:val="00E56CA9"/>
    <w:rsid w:val="00E57135"/>
    <w:rsid w:val="00E57267"/>
    <w:rsid w:val="00E576D9"/>
    <w:rsid w:val="00E60119"/>
    <w:rsid w:val="00E6083B"/>
    <w:rsid w:val="00E61229"/>
    <w:rsid w:val="00E61A82"/>
    <w:rsid w:val="00E61B50"/>
    <w:rsid w:val="00E62763"/>
    <w:rsid w:val="00E6281E"/>
    <w:rsid w:val="00E62BBE"/>
    <w:rsid w:val="00E63D87"/>
    <w:rsid w:val="00E642DD"/>
    <w:rsid w:val="00E65405"/>
    <w:rsid w:val="00E65C17"/>
    <w:rsid w:val="00E65DA4"/>
    <w:rsid w:val="00E66112"/>
    <w:rsid w:val="00E6672A"/>
    <w:rsid w:val="00E66AB1"/>
    <w:rsid w:val="00E66FD3"/>
    <w:rsid w:val="00E674B4"/>
    <w:rsid w:val="00E67BB5"/>
    <w:rsid w:val="00E70AD8"/>
    <w:rsid w:val="00E70D29"/>
    <w:rsid w:val="00E72B86"/>
    <w:rsid w:val="00E736F5"/>
    <w:rsid w:val="00E74807"/>
    <w:rsid w:val="00E74941"/>
    <w:rsid w:val="00E7497D"/>
    <w:rsid w:val="00E74F0E"/>
    <w:rsid w:val="00E7585A"/>
    <w:rsid w:val="00E75A86"/>
    <w:rsid w:val="00E75EB2"/>
    <w:rsid w:val="00E76B3B"/>
    <w:rsid w:val="00E76D2E"/>
    <w:rsid w:val="00E7701D"/>
    <w:rsid w:val="00E80B30"/>
    <w:rsid w:val="00E81F06"/>
    <w:rsid w:val="00E82B3F"/>
    <w:rsid w:val="00E82EAD"/>
    <w:rsid w:val="00E838F9"/>
    <w:rsid w:val="00E8491B"/>
    <w:rsid w:val="00E85AAB"/>
    <w:rsid w:val="00E85E24"/>
    <w:rsid w:val="00E8608C"/>
    <w:rsid w:val="00E860C4"/>
    <w:rsid w:val="00E86FCA"/>
    <w:rsid w:val="00E87211"/>
    <w:rsid w:val="00E8759D"/>
    <w:rsid w:val="00E875BF"/>
    <w:rsid w:val="00E8760E"/>
    <w:rsid w:val="00E87C3D"/>
    <w:rsid w:val="00E904A5"/>
    <w:rsid w:val="00E905B1"/>
    <w:rsid w:val="00E9158E"/>
    <w:rsid w:val="00E917DE"/>
    <w:rsid w:val="00E91B8A"/>
    <w:rsid w:val="00E91C46"/>
    <w:rsid w:val="00E91F9C"/>
    <w:rsid w:val="00E92C1C"/>
    <w:rsid w:val="00E9366B"/>
    <w:rsid w:val="00E939B1"/>
    <w:rsid w:val="00E93CBC"/>
    <w:rsid w:val="00E93CBF"/>
    <w:rsid w:val="00E947B4"/>
    <w:rsid w:val="00E94E17"/>
    <w:rsid w:val="00E9529E"/>
    <w:rsid w:val="00E968C0"/>
    <w:rsid w:val="00E96C4A"/>
    <w:rsid w:val="00E96D7F"/>
    <w:rsid w:val="00E96DB7"/>
    <w:rsid w:val="00E97221"/>
    <w:rsid w:val="00E97F65"/>
    <w:rsid w:val="00EA22F0"/>
    <w:rsid w:val="00EA31E7"/>
    <w:rsid w:val="00EA4089"/>
    <w:rsid w:val="00EA493D"/>
    <w:rsid w:val="00EA49CD"/>
    <w:rsid w:val="00EA56A9"/>
    <w:rsid w:val="00EA5773"/>
    <w:rsid w:val="00EA5917"/>
    <w:rsid w:val="00EA6218"/>
    <w:rsid w:val="00EA62A5"/>
    <w:rsid w:val="00EA6C35"/>
    <w:rsid w:val="00EA6CEB"/>
    <w:rsid w:val="00EA7341"/>
    <w:rsid w:val="00EA7E4D"/>
    <w:rsid w:val="00EB074B"/>
    <w:rsid w:val="00EB0E60"/>
    <w:rsid w:val="00EB10AF"/>
    <w:rsid w:val="00EB1655"/>
    <w:rsid w:val="00EB1B97"/>
    <w:rsid w:val="00EB26FA"/>
    <w:rsid w:val="00EB2FDA"/>
    <w:rsid w:val="00EB3646"/>
    <w:rsid w:val="00EB4B7F"/>
    <w:rsid w:val="00EB4C16"/>
    <w:rsid w:val="00EB57A4"/>
    <w:rsid w:val="00EB5DAA"/>
    <w:rsid w:val="00EB62F2"/>
    <w:rsid w:val="00EB66E3"/>
    <w:rsid w:val="00EB688F"/>
    <w:rsid w:val="00EB6DA7"/>
    <w:rsid w:val="00EB7062"/>
    <w:rsid w:val="00EB7723"/>
    <w:rsid w:val="00EC0CCB"/>
    <w:rsid w:val="00EC11BE"/>
    <w:rsid w:val="00EC1638"/>
    <w:rsid w:val="00EC176E"/>
    <w:rsid w:val="00EC190F"/>
    <w:rsid w:val="00EC1ACC"/>
    <w:rsid w:val="00EC3135"/>
    <w:rsid w:val="00EC3332"/>
    <w:rsid w:val="00EC349A"/>
    <w:rsid w:val="00EC3E6B"/>
    <w:rsid w:val="00EC4124"/>
    <w:rsid w:val="00EC459E"/>
    <w:rsid w:val="00EC4DEC"/>
    <w:rsid w:val="00EC51C3"/>
    <w:rsid w:val="00EC547D"/>
    <w:rsid w:val="00EC58BE"/>
    <w:rsid w:val="00EC5BEA"/>
    <w:rsid w:val="00EC6019"/>
    <w:rsid w:val="00EC6360"/>
    <w:rsid w:val="00EC67F8"/>
    <w:rsid w:val="00EC731E"/>
    <w:rsid w:val="00EC78BB"/>
    <w:rsid w:val="00EC7E39"/>
    <w:rsid w:val="00ED13AE"/>
    <w:rsid w:val="00ED1FA6"/>
    <w:rsid w:val="00ED203F"/>
    <w:rsid w:val="00ED2177"/>
    <w:rsid w:val="00ED2EA7"/>
    <w:rsid w:val="00ED3579"/>
    <w:rsid w:val="00ED3B12"/>
    <w:rsid w:val="00ED3B35"/>
    <w:rsid w:val="00ED3EC6"/>
    <w:rsid w:val="00ED441A"/>
    <w:rsid w:val="00ED4626"/>
    <w:rsid w:val="00ED5554"/>
    <w:rsid w:val="00ED61D7"/>
    <w:rsid w:val="00ED629A"/>
    <w:rsid w:val="00ED6622"/>
    <w:rsid w:val="00ED6D7A"/>
    <w:rsid w:val="00ED715C"/>
    <w:rsid w:val="00EE123F"/>
    <w:rsid w:val="00EE1278"/>
    <w:rsid w:val="00EE1563"/>
    <w:rsid w:val="00EE1A20"/>
    <w:rsid w:val="00EE1AD8"/>
    <w:rsid w:val="00EE1FEE"/>
    <w:rsid w:val="00EE2614"/>
    <w:rsid w:val="00EE3598"/>
    <w:rsid w:val="00EE3743"/>
    <w:rsid w:val="00EE4D02"/>
    <w:rsid w:val="00EE4FAD"/>
    <w:rsid w:val="00EE534C"/>
    <w:rsid w:val="00EE650D"/>
    <w:rsid w:val="00EE6D9A"/>
    <w:rsid w:val="00EE7885"/>
    <w:rsid w:val="00EF0D8E"/>
    <w:rsid w:val="00EF1561"/>
    <w:rsid w:val="00EF21D3"/>
    <w:rsid w:val="00EF2908"/>
    <w:rsid w:val="00EF2B54"/>
    <w:rsid w:val="00EF2CA4"/>
    <w:rsid w:val="00EF4652"/>
    <w:rsid w:val="00EF4B36"/>
    <w:rsid w:val="00EF4DD4"/>
    <w:rsid w:val="00EF4E68"/>
    <w:rsid w:val="00EF579A"/>
    <w:rsid w:val="00EF579B"/>
    <w:rsid w:val="00EF5B6B"/>
    <w:rsid w:val="00EF5E76"/>
    <w:rsid w:val="00EF61BF"/>
    <w:rsid w:val="00EF652F"/>
    <w:rsid w:val="00EF66F1"/>
    <w:rsid w:val="00EF678B"/>
    <w:rsid w:val="00EF69AD"/>
    <w:rsid w:val="00EF69C2"/>
    <w:rsid w:val="00EF6BF9"/>
    <w:rsid w:val="00EF6F43"/>
    <w:rsid w:val="00F006CF"/>
    <w:rsid w:val="00F008D8"/>
    <w:rsid w:val="00F01DFF"/>
    <w:rsid w:val="00F037F1"/>
    <w:rsid w:val="00F03AC5"/>
    <w:rsid w:val="00F03D3C"/>
    <w:rsid w:val="00F0406C"/>
    <w:rsid w:val="00F0431B"/>
    <w:rsid w:val="00F047BE"/>
    <w:rsid w:val="00F0492D"/>
    <w:rsid w:val="00F055C6"/>
    <w:rsid w:val="00F0581E"/>
    <w:rsid w:val="00F059DF"/>
    <w:rsid w:val="00F05CCC"/>
    <w:rsid w:val="00F05DA9"/>
    <w:rsid w:val="00F05EE6"/>
    <w:rsid w:val="00F0798E"/>
    <w:rsid w:val="00F0BE27"/>
    <w:rsid w:val="00F1002A"/>
    <w:rsid w:val="00F10732"/>
    <w:rsid w:val="00F1093A"/>
    <w:rsid w:val="00F10D50"/>
    <w:rsid w:val="00F10E7B"/>
    <w:rsid w:val="00F11772"/>
    <w:rsid w:val="00F11844"/>
    <w:rsid w:val="00F11F0C"/>
    <w:rsid w:val="00F124B2"/>
    <w:rsid w:val="00F1312F"/>
    <w:rsid w:val="00F134AA"/>
    <w:rsid w:val="00F13636"/>
    <w:rsid w:val="00F147FA"/>
    <w:rsid w:val="00F14E75"/>
    <w:rsid w:val="00F17DD3"/>
    <w:rsid w:val="00F200CF"/>
    <w:rsid w:val="00F20269"/>
    <w:rsid w:val="00F202CA"/>
    <w:rsid w:val="00F20C38"/>
    <w:rsid w:val="00F20C66"/>
    <w:rsid w:val="00F21A2A"/>
    <w:rsid w:val="00F21B4F"/>
    <w:rsid w:val="00F21B7B"/>
    <w:rsid w:val="00F21D0F"/>
    <w:rsid w:val="00F21E89"/>
    <w:rsid w:val="00F225F9"/>
    <w:rsid w:val="00F230BC"/>
    <w:rsid w:val="00F233FC"/>
    <w:rsid w:val="00F24AF8"/>
    <w:rsid w:val="00F25682"/>
    <w:rsid w:val="00F2705C"/>
    <w:rsid w:val="00F272C0"/>
    <w:rsid w:val="00F27FAA"/>
    <w:rsid w:val="00F310AB"/>
    <w:rsid w:val="00F316E6"/>
    <w:rsid w:val="00F31E24"/>
    <w:rsid w:val="00F32752"/>
    <w:rsid w:val="00F32825"/>
    <w:rsid w:val="00F32A5C"/>
    <w:rsid w:val="00F33FE2"/>
    <w:rsid w:val="00F3403D"/>
    <w:rsid w:val="00F34210"/>
    <w:rsid w:val="00F345A6"/>
    <w:rsid w:val="00F34887"/>
    <w:rsid w:val="00F34D02"/>
    <w:rsid w:val="00F35563"/>
    <w:rsid w:val="00F355D1"/>
    <w:rsid w:val="00F35943"/>
    <w:rsid w:val="00F35E35"/>
    <w:rsid w:val="00F36085"/>
    <w:rsid w:val="00F3653A"/>
    <w:rsid w:val="00F36AE1"/>
    <w:rsid w:val="00F370D9"/>
    <w:rsid w:val="00F374BD"/>
    <w:rsid w:val="00F37892"/>
    <w:rsid w:val="00F37ACC"/>
    <w:rsid w:val="00F37CD3"/>
    <w:rsid w:val="00F40CDF"/>
    <w:rsid w:val="00F40EBF"/>
    <w:rsid w:val="00F416BD"/>
    <w:rsid w:val="00F4277C"/>
    <w:rsid w:val="00F4313B"/>
    <w:rsid w:val="00F431C5"/>
    <w:rsid w:val="00F43493"/>
    <w:rsid w:val="00F44103"/>
    <w:rsid w:val="00F4433E"/>
    <w:rsid w:val="00F44343"/>
    <w:rsid w:val="00F44AFC"/>
    <w:rsid w:val="00F454AA"/>
    <w:rsid w:val="00F4551F"/>
    <w:rsid w:val="00F45C62"/>
    <w:rsid w:val="00F46ECE"/>
    <w:rsid w:val="00F47A4B"/>
    <w:rsid w:val="00F47E69"/>
    <w:rsid w:val="00F50CD8"/>
    <w:rsid w:val="00F521D3"/>
    <w:rsid w:val="00F52BE8"/>
    <w:rsid w:val="00F52EC2"/>
    <w:rsid w:val="00F5447E"/>
    <w:rsid w:val="00F54B20"/>
    <w:rsid w:val="00F54C99"/>
    <w:rsid w:val="00F55C84"/>
    <w:rsid w:val="00F56993"/>
    <w:rsid w:val="00F6025E"/>
    <w:rsid w:val="00F607E9"/>
    <w:rsid w:val="00F61133"/>
    <w:rsid w:val="00F612BC"/>
    <w:rsid w:val="00F62680"/>
    <w:rsid w:val="00F62E60"/>
    <w:rsid w:val="00F641EB"/>
    <w:rsid w:val="00F6443E"/>
    <w:rsid w:val="00F6458D"/>
    <w:rsid w:val="00F65FF7"/>
    <w:rsid w:val="00F67A07"/>
    <w:rsid w:val="00F67A89"/>
    <w:rsid w:val="00F70D7D"/>
    <w:rsid w:val="00F717A2"/>
    <w:rsid w:val="00F717CF"/>
    <w:rsid w:val="00F7195A"/>
    <w:rsid w:val="00F71BDC"/>
    <w:rsid w:val="00F721D0"/>
    <w:rsid w:val="00F72483"/>
    <w:rsid w:val="00F726D2"/>
    <w:rsid w:val="00F752F2"/>
    <w:rsid w:val="00F75C25"/>
    <w:rsid w:val="00F75E6B"/>
    <w:rsid w:val="00F7618F"/>
    <w:rsid w:val="00F76498"/>
    <w:rsid w:val="00F764A5"/>
    <w:rsid w:val="00F76A52"/>
    <w:rsid w:val="00F76C1B"/>
    <w:rsid w:val="00F76C4D"/>
    <w:rsid w:val="00F76D74"/>
    <w:rsid w:val="00F77307"/>
    <w:rsid w:val="00F778B8"/>
    <w:rsid w:val="00F803D2"/>
    <w:rsid w:val="00F80541"/>
    <w:rsid w:val="00F81639"/>
    <w:rsid w:val="00F81741"/>
    <w:rsid w:val="00F81B5E"/>
    <w:rsid w:val="00F81E52"/>
    <w:rsid w:val="00F81F41"/>
    <w:rsid w:val="00F829A3"/>
    <w:rsid w:val="00F836A7"/>
    <w:rsid w:val="00F83F88"/>
    <w:rsid w:val="00F84304"/>
    <w:rsid w:val="00F8526F"/>
    <w:rsid w:val="00F85F43"/>
    <w:rsid w:val="00F87329"/>
    <w:rsid w:val="00F8751C"/>
    <w:rsid w:val="00F8756B"/>
    <w:rsid w:val="00F87AFD"/>
    <w:rsid w:val="00F87EE0"/>
    <w:rsid w:val="00F906DA"/>
    <w:rsid w:val="00F90B55"/>
    <w:rsid w:val="00F90FCF"/>
    <w:rsid w:val="00F91685"/>
    <w:rsid w:val="00F91709"/>
    <w:rsid w:val="00F9247B"/>
    <w:rsid w:val="00F92ED9"/>
    <w:rsid w:val="00F93561"/>
    <w:rsid w:val="00F93BB5"/>
    <w:rsid w:val="00F945A7"/>
    <w:rsid w:val="00F95423"/>
    <w:rsid w:val="00F95BC5"/>
    <w:rsid w:val="00F95D64"/>
    <w:rsid w:val="00F95DCA"/>
    <w:rsid w:val="00F95E96"/>
    <w:rsid w:val="00F96102"/>
    <w:rsid w:val="00F96782"/>
    <w:rsid w:val="00F96AA2"/>
    <w:rsid w:val="00F96FFB"/>
    <w:rsid w:val="00FA0652"/>
    <w:rsid w:val="00FA08AC"/>
    <w:rsid w:val="00FA1031"/>
    <w:rsid w:val="00FA1721"/>
    <w:rsid w:val="00FA2154"/>
    <w:rsid w:val="00FA28AE"/>
    <w:rsid w:val="00FA3C58"/>
    <w:rsid w:val="00FA41C0"/>
    <w:rsid w:val="00FA44FC"/>
    <w:rsid w:val="00FA45E6"/>
    <w:rsid w:val="00FA532B"/>
    <w:rsid w:val="00FA5656"/>
    <w:rsid w:val="00FA5802"/>
    <w:rsid w:val="00FA6180"/>
    <w:rsid w:val="00FA64DD"/>
    <w:rsid w:val="00FA65CE"/>
    <w:rsid w:val="00FA7982"/>
    <w:rsid w:val="00FB00C0"/>
    <w:rsid w:val="00FB0AEC"/>
    <w:rsid w:val="00FB0BF0"/>
    <w:rsid w:val="00FB0E80"/>
    <w:rsid w:val="00FB1FCB"/>
    <w:rsid w:val="00FB2343"/>
    <w:rsid w:val="00FB26F5"/>
    <w:rsid w:val="00FB289E"/>
    <w:rsid w:val="00FB2D83"/>
    <w:rsid w:val="00FB2FBA"/>
    <w:rsid w:val="00FB30DE"/>
    <w:rsid w:val="00FB316D"/>
    <w:rsid w:val="00FB346C"/>
    <w:rsid w:val="00FB34B1"/>
    <w:rsid w:val="00FB3942"/>
    <w:rsid w:val="00FB3B8D"/>
    <w:rsid w:val="00FB41E4"/>
    <w:rsid w:val="00FB4CB8"/>
    <w:rsid w:val="00FB50C0"/>
    <w:rsid w:val="00FB51AC"/>
    <w:rsid w:val="00FB6B98"/>
    <w:rsid w:val="00FB75C2"/>
    <w:rsid w:val="00FC0102"/>
    <w:rsid w:val="00FC0492"/>
    <w:rsid w:val="00FC0AA8"/>
    <w:rsid w:val="00FC16D6"/>
    <w:rsid w:val="00FC2DAB"/>
    <w:rsid w:val="00FC31E0"/>
    <w:rsid w:val="00FC354A"/>
    <w:rsid w:val="00FC3661"/>
    <w:rsid w:val="00FC36FE"/>
    <w:rsid w:val="00FC47FF"/>
    <w:rsid w:val="00FC484E"/>
    <w:rsid w:val="00FC4B57"/>
    <w:rsid w:val="00FC4B70"/>
    <w:rsid w:val="00FC4EBC"/>
    <w:rsid w:val="00FC5BCB"/>
    <w:rsid w:val="00FC614F"/>
    <w:rsid w:val="00FC68C5"/>
    <w:rsid w:val="00FC68D9"/>
    <w:rsid w:val="00FC6AD7"/>
    <w:rsid w:val="00FC715D"/>
    <w:rsid w:val="00FC7F45"/>
    <w:rsid w:val="00FD01C4"/>
    <w:rsid w:val="00FD034B"/>
    <w:rsid w:val="00FD04DF"/>
    <w:rsid w:val="00FD0600"/>
    <w:rsid w:val="00FD0645"/>
    <w:rsid w:val="00FD09B9"/>
    <w:rsid w:val="00FD0ACF"/>
    <w:rsid w:val="00FD0C3E"/>
    <w:rsid w:val="00FD0C8B"/>
    <w:rsid w:val="00FD0FC2"/>
    <w:rsid w:val="00FD128E"/>
    <w:rsid w:val="00FD15B7"/>
    <w:rsid w:val="00FD1790"/>
    <w:rsid w:val="00FD192C"/>
    <w:rsid w:val="00FD1AD9"/>
    <w:rsid w:val="00FD2638"/>
    <w:rsid w:val="00FD26AD"/>
    <w:rsid w:val="00FD2791"/>
    <w:rsid w:val="00FD30BA"/>
    <w:rsid w:val="00FD488B"/>
    <w:rsid w:val="00FD5E63"/>
    <w:rsid w:val="00FD6120"/>
    <w:rsid w:val="00FD7291"/>
    <w:rsid w:val="00FD79FA"/>
    <w:rsid w:val="00FE185C"/>
    <w:rsid w:val="00FE251A"/>
    <w:rsid w:val="00FE26BC"/>
    <w:rsid w:val="00FE2756"/>
    <w:rsid w:val="00FE3165"/>
    <w:rsid w:val="00FE3390"/>
    <w:rsid w:val="00FE3802"/>
    <w:rsid w:val="00FE4441"/>
    <w:rsid w:val="00FE4D61"/>
    <w:rsid w:val="00FE5652"/>
    <w:rsid w:val="00FE5D64"/>
    <w:rsid w:val="00FE63F8"/>
    <w:rsid w:val="00FE6A8A"/>
    <w:rsid w:val="00FE6B45"/>
    <w:rsid w:val="00FE7694"/>
    <w:rsid w:val="00FE798E"/>
    <w:rsid w:val="00FF0584"/>
    <w:rsid w:val="00FF0C03"/>
    <w:rsid w:val="00FF1719"/>
    <w:rsid w:val="00FF172B"/>
    <w:rsid w:val="00FF1CA7"/>
    <w:rsid w:val="00FF25D3"/>
    <w:rsid w:val="00FF25FA"/>
    <w:rsid w:val="00FF28C8"/>
    <w:rsid w:val="00FF360B"/>
    <w:rsid w:val="00FF3C6C"/>
    <w:rsid w:val="00FF3CCE"/>
    <w:rsid w:val="00FF4047"/>
    <w:rsid w:val="00FF41DE"/>
    <w:rsid w:val="00FF4C1F"/>
    <w:rsid w:val="00FF4EC7"/>
    <w:rsid w:val="00FF5C57"/>
    <w:rsid w:val="00FF6585"/>
    <w:rsid w:val="00FF6CAE"/>
    <w:rsid w:val="00FF75F2"/>
    <w:rsid w:val="00FF7766"/>
    <w:rsid w:val="00FF7D52"/>
    <w:rsid w:val="01057EB5"/>
    <w:rsid w:val="01275A93"/>
    <w:rsid w:val="013BFB45"/>
    <w:rsid w:val="01EA1E5A"/>
    <w:rsid w:val="01EA4337"/>
    <w:rsid w:val="0211EE06"/>
    <w:rsid w:val="0259F803"/>
    <w:rsid w:val="028EED20"/>
    <w:rsid w:val="028F32ED"/>
    <w:rsid w:val="02BEF58A"/>
    <w:rsid w:val="03550564"/>
    <w:rsid w:val="03612D7B"/>
    <w:rsid w:val="0367B69E"/>
    <w:rsid w:val="03ACF34E"/>
    <w:rsid w:val="03AFE0F8"/>
    <w:rsid w:val="03C7C727"/>
    <w:rsid w:val="03D6C3D3"/>
    <w:rsid w:val="03E99B92"/>
    <w:rsid w:val="04BC1D07"/>
    <w:rsid w:val="057731B1"/>
    <w:rsid w:val="058256BD"/>
    <w:rsid w:val="05D2EC01"/>
    <w:rsid w:val="05E3C393"/>
    <w:rsid w:val="066ED197"/>
    <w:rsid w:val="070BE1E4"/>
    <w:rsid w:val="0719ECF4"/>
    <w:rsid w:val="07357EF5"/>
    <w:rsid w:val="077F8CD3"/>
    <w:rsid w:val="07867614"/>
    <w:rsid w:val="080963BD"/>
    <w:rsid w:val="08553191"/>
    <w:rsid w:val="088C8AA3"/>
    <w:rsid w:val="08BC2739"/>
    <w:rsid w:val="093CE266"/>
    <w:rsid w:val="09553018"/>
    <w:rsid w:val="09765C95"/>
    <w:rsid w:val="09C879C2"/>
    <w:rsid w:val="09EE3AC7"/>
    <w:rsid w:val="0A0AD799"/>
    <w:rsid w:val="0A1AC653"/>
    <w:rsid w:val="0A40772C"/>
    <w:rsid w:val="0A808CFE"/>
    <w:rsid w:val="0AC6C36A"/>
    <w:rsid w:val="0ACA0092"/>
    <w:rsid w:val="0AD41123"/>
    <w:rsid w:val="0AF8EEA9"/>
    <w:rsid w:val="0BA51459"/>
    <w:rsid w:val="0BC1A2C8"/>
    <w:rsid w:val="0BEDC6C4"/>
    <w:rsid w:val="0BF27A00"/>
    <w:rsid w:val="0C1B010D"/>
    <w:rsid w:val="0D31CD16"/>
    <w:rsid w:val="0D4ABE64"/>
    <w:rsid w:val="0D6CC356"/>
    <w:rsid w:val="0D89C16D"/>
    <w:rsid w:val="0DCD8B42"/>
    <w:rsid w:val="0DE5A7DC"/>
    <w:rsid w:val="0DFCE495"/>
    <w:rsid w:val="0E15A46C"/>
    <w:rsid w:val="0E342A63"/>
    <w:rsid w:val="0EC4E2BC"/>
    <w:rsid w:val="0EC51A0F"/>
    <w:rsid w:val="0F60F11E"/>
    <w:rsid w:val="10600D98"/>
    <w:rsid w:val="106AEAE6"/>
    <w:rsid w:val="10B9A0B9"/>
    <w:rsid w:val="1117E947"/>
    <w:rsid w:val="11653BE7"/>
    <w:rsid w:val="11EBD596"/>
    <w:rsid w:val="123A74D3"/>
    <w:rsid w:val="124C9A52"/>
    <w:rsid w:val="12AAA044"/>
    <w:rsid w:val="12CAAF96"/>
    <w:rsid w:val="139600C3"/>
    <w:rsid w:val="13A5A4C9"/>
    <w:rsid w:val="13D93E9E"/>
    <w:rsid w:val="143B9678"/>
    <w:rsid w:val="145E3892"/>
    <w:rsid w:val="1481D347"/>
    <w:rsid w:val="14901569"/>
    <w:rsid w:val="14AC5692"/>
    <w:rsid w:val="14C53609"/>
    <w:rsid w:val="14EDA1F7"/>
    <w:rsid w:val="15162F0C"/>
    <w:rsid w:val="1557567B"/>
    <w:rsid w:val="15680589"/>
    <w:rsid w:val="157E222D"/>
    <w:rsid w:val="159F90FA"/>
    <w:rsid w:val="15D32A6D"/>
    <w:rsid w:val="15E9176C"/>
    <w:rsid w:val="167BDF37"/>
    <w:rsid w:val="16A8812F"/>
    <w:rsid w:val="1761F1D3"/>
    <w:rsid w:val="17A7445E"/>
    <w:rsid w:val="17AF76F0"/>
    <w:rsid w:val="1819E95A"/>
    <w:rsid w:val="18812CD7"/>
    <w:rsid w:val="18927478"/>
    <w:rsid w:val="18DD167B"/>
    <w:rsid w:val="19A8968A"/>
    <w:rsid w:val="19A97463"/>
    <w:rsid w:val="19BAFEC5"/>
    <w:rsid w:val="19C3627C"/>
    <w:rsid w:val="19EABEB0"/>
    <w:rsid w:val="1ABDC2AC"/>
    <w:rsid w:val="1ACA9690"/>
    <w:rsid w:val="1AF4BF95"/>
    <w:rsid w:val="1AFD5946"/>
    <w:rsid w:val="1B644D8D"/>
    <w:rsid w:val="1CBB5EE2"/>
    <w:rsid w:val="1D4B0B21"/>
    <w:rsid w:val="1DA5A6FD"/>
    <w:rsid w:val="1DF9BE03"/>
    <w:rsid w:val="1E0BFED8"/>
    <w:rsid w:val="1E73D705"/>
    <w:rsid w:val="1E87F43F"/>
    <w:rsid w:val="1EEAF7C9"/>
    <w:rsid w:val="1F1D9927"/>
    <w:rsid w:val="1F311F29"/>
    <w:rsid w:val="1F6A01C7"/>
    <w:rsid w:val="1F74139D"/>
    <w:rsid w:val="1FD0E119"/>
    <w:rsid w:val="202FE6AD"/>
    <w:rsid w:val="2040F4F7"/>
    <w:rsid w:val="20699AC1"/>
    <w:rsid w:val="2096C4D2"/>
    <w:rsid w:val="20C04A8E"/>
    <w:rsid w:val="20D1CE0A"/>
    <w:rsid w:val="213A17E5"/>
    <w:rsid w:val="218F4F9F"/>
    <w:rsid w:val="21A1D968"/>
    <w:rsid w:val="21C3259E"/>
    <w:rsid w:val="21C98E20"/>
    <w:rsid w:val="220E296F"/>
    <w:rsid w:val="22290806"/>
    <w:rsid w:val="2292BD5A"/>
    <w:rsid w:val="22A5BD14"/>
    <w:rsid w:val="22AB60EB"/>
    <w:rsid w:val="22CB6B7E"/>
    <w:rsid w:val="237683EC"/>
    <w:rsid w:val="23D7DA2B"/>
    <w:rsid w:val="2449A5D8"/>
    <w:rsid w:val="247523EA"/>
    <w:rsid w:val="2490216D"/>
    <w:rsid w:val="2491FB80"/>
    <w:rsid w:val="249236E6"/>
    <w:rsid w:val="2496FB9C"/>
    <w:rsid w:val="2498F4B6"/>
    <w:rsid w:val="24B6B478"/>
    <w:rsid w:val="250E6D7C"/>
    <w:rsid w:val="255622EF"/>
    <w:rsid w:val="25C3487E"/>
    <w:rsid w:val="260E75D6"/>
    <w:rsid w:val="26577752"/>
    <w:rsid w:val="268B4DB4"/>
    <w:rsid w:val="26C836A2"/>
    <w:rsid w:val="26CB5396"/>
    <w:rsid w:val="2716139E"/>
    <w:rsid w:val="275A32F9"/>
    <w:rsid w:val="27868EED"/>
    <w:rsid w:val="27AF6336"/>
    <w:rsid w:val="2805C181"/>
    <w:rsid w:val="28274CFB"/>
    <w:rsid w:val="2861114C"/>
    <w:rsid w:val="28E2314F"/>
    <w:rsid w:val="28E49942"/>
    <w:rsid w:val="28FBDD72"/>
    <w:rsid w:val="29386947"/>
    <w:rsid w:val="29505A5F"/>
    <w:rsid w:val="29B11606"/>
    <w:rsid w:val="29E04239"/>
    <w:rsid w:val="2A076579"/>
    <w:rsid w:val="2A73F332"/>
    <w:rsid w:val="2A955CDA"/>
    <w:rsid w:val="2A9D6D79"/>
    <w:rsid w:val="2ABBA8F9"/>
    <w:rsid w:val="2AC28756"/>
    <w:rsid w:val="2B78B971"/>
    <w:rsid w:val="2BB45139"/>
    <w:rsid w:val="2C483CC9"/>
    <w:rsid w:val="2C5288F4"/>
    <w:rsid w:val="2C5BE42A"/>
    <w:rsid w:val="2C65C67F"/>
    <w:rsid w:val="2C6E4DD0"/>
    <w:rsid w:val="2C8A098A"/>
    <w:rsid w:val="2CBC03A9"/>
    <w:rsid w:val="2D080685"/>
    <w:rsid w:val="2DD27E85"/>
    <w:rsid w:val="2E10749B"/>
    <w:rsid w:val="2E2EB50C"/>
    <w:rsid w:val="2E574DC6"/>
    <w:rsid w:val="2E7EC2F3"/>
    <w:rsid w:val="2EC6354C"/>
    <w:rsid w:val="2F03B057"/>
    <w:rsid w:val="2F20D014"/>
    <w:rsid w:val="2F46F047"/>
    <w:rsid w:val="2F58B75B"/>
    <w:rsid w:val="2F8B35D4"/>
    <w:rsid w:val="3005371A"/>
    <w:rsid w:val="303D171A"/>
    <w:rsid w:val="305ECFEE"/>
    <w:rsid w:val="308B4FB3"/>
    <w:rsid w:val="30AE132E"/>
    <w:rsid w:val="30B156E0"/>
    <w:rsid w:val="31252BE9"/>
    <w:rsid w:val="314F4E0D"/>
    <w:rsid w:val="315A8C84"/>
    <w:rsid w:val="316D2575"/>
    <w:rsid w:val="3188CB87"/>
    <w:rsid w:val="318BCF97"/>
    <w:rsid w:val="31992556"/>
    <w:rsid w:val="31B76E19"/>
    <w:rsid w:val="31BE59F8"/>
    <w:rsid w:val="31CFFDED"/>
    <w:rsid w:val="31D4914C"/>
    <w:rsid w:val="31F5F7EF"/>
    <w:rsid w:val="320DFA24"/>
    <w:rsid w:val="322C7519"/>
    <w:rsid w:val="323F0BD8"/>
    <w:rsid w:val="324B0D0F"/>
    <w:rsid w:val="329BB549"/>
    <w:rsid w:val="32ADC811"/>
    <w:rsid w:val="330589E0"/>
    <w:rsid w:val="3388E7C0"/>
    <w:rsid w:val="33C59166"/>
    <w:rsid w:val="341153F4"/>
    <w:rsid w:val="341B1797"/>
    <w:rsid w:val="341DEB42"/>
    <w:rsid w:val="341FE505"/>
    <w:rsid w:val="343D15FE"/>
    <w:rsid w:val="343D45AB"/>
    <w:rsid w:val="344F59C8"/>
    <w:rsid w:val="34BACE28"/>
    <w:rsid w:val="3511A496"/>
    <w:rsid w:val="3571D399"/>
    <w:rsid w:val="35A3E394"/>
    <w:rsid w:val="35D64976"/>
    <w:rsid w:val="3629272E"/>
    <w:rsid w:val="364028D8"/>
    <w:rsid w:val="3645E42C"/>
    <w:rsid w:val="366D40F0"/>
    <w:rsid w:val="368347D6"/>
    <w:rsid w:val="37067727"/>
    <w:rsid w:val="37199AA2"/>
    <w:rsid w:val="3766A358"/>
    <w:rsid w:val="379FF28B"/>
    <w:rsid w:val="37C36F5A"/>
    <w:rsid w:val="3819557A"/>
    <w:rsid w:val="3897ECDA"/>
    <w:rsid w:val="39CE21E7"/>
    <w:rsid w:val="39EB58F2"/>
    <w:rsid w:val="3A0E551B"/>
    <w:rsid w:val="3AAB57AF"/>
    <w:rsid w:val="3AACC403"/>
    <w:rsid w:val="3B113D27"/>
    <w:rsid w:val="3B170FB7"/>
    <w:rsid w:val="3B35D1D9"/>
    <w:rsid w:val="3B465C5A"/>
    <w:rsid w:val="3C039EE6"/>
    <w:rsid w:val="3C8B76D8"/>
    <w:rsid w:val="3C9A1548"/>
    <w:rsid w:val="3D13BDE6"/>
    <w:rsid w:val="3D198F69"/>
    <w:rsid w:val="3D4E2314"/>
    <w:rsid w:val="3D559832"/>
    <w:rsid w:val="3E1416C0"/>
    <w:rsid w:val="3E32BE55"/>
    <w:rsid w:val="3E5165DA"/>
    <w:rsid w:val="3E62D719"/>
    <w:rsid w:val="3E703831"/>
    <w:rsid w:val="3EA56D59"/>
    <w:rsid w:val="3EAB1EB1"/>
    <w:rsid w:val="3EDD49F1"/>
    <w:rsid w:val="3EE0DA5E"/>
    <w:rsid w:val="3F403662"/>
    <w:rsid w:val="3F530196"/>
    <w:rsid w:val="3FCCCF9F"/>
    <w:rsid w:val="405131DC"/>
    <w:rsid w:val="40890A75"/>
    <w:rsid w:val="4103B283"/>
    <w:rsid w:val="4125573D"/>
    <w:rsid w:val="425BF5AF"/>
    <w:rsid w:val="42CBBF9C"/>
    <w:rsid w:val="42F54826"/>
    <w:rsid w:val="4306F220"/>
    <w:rsid w:val="4383FD77"/>
    <w:rsid w:val="43A25FFC"/>
    <w:rsid w:val="43A5C8F0"/>
    <w:rsid w:val="43B5B7BD"/>
    <w:rsid w:val="43C91992"/>
    <w:rsid w:val="43C9DEB7"/>
    <w:rsid w:val="43EA347F"/>
    <w:rsid w:val="440C7D86"/>
    <w:rsid w:val="44921658"/>
    <w:rsid w:val="44A81DC2"/>
    <w:rsid w:val="44DF9E63"/>
    <w:rsid w:val="44F2E1BB"/>
    <w:rsid w:val="45121224"/>
    <w:rsid w:val="4552C9DA"/>
    <w:rsid w:val="456C4533"/>
    <w:rsid w:val="45B37225"/>
    <w:rsid w:val="46249A5D"/>
    <w:rsid w:val="463EBEFB"/>
    <w:rsid w:val="466F620C"/>
    <w:rsid w:val="467FCA4F"/>
    <w:rsid w:val="46889369"/>
    <w:rsid w:val="469B7F45"/>
    <w:rsid w:val="475B27B6"/>
    <w:rsid w:val="47D2A8FD"/>
    <w:rsid w:val="4837FD0C"/>
    <w:rsid w:val="489AB88B"/>
    <w:rsid w:val="48F5BB1A"/>
    <w:rsid w:val="4949362E"/>
    <w:rsid w:val="49598A92"/>
    <w:rsid w:val="4A196979"/>
    <w:rsid w:val="4A3DA226"/>
    <w:rsid w:val="4A3E670E"/>
    <w:rsid w:val="4A485939"/>
    <w:rsid w:val="4A65AB16"/>
    <w:rsid w:val="4A69B0D3"/>
    <w:rsid w:val="4A98B5EA"/>
    <w:rsid w:val="4ACCD238"/>
    <w:rsid w:val="4B130CDF"/>
    <w:rsid w:val="4B237A1F"/>
    <w:rsid w:val="4B78E8A3"/>
    <w:rsid w:val="4B948F31"/>
    <w:rsid w:val="4B9A3824"/>
    <w:rsid w:val="4BC08CC3"/>
    <w:rsid w:val="4BEF7113"/>
    <w:rsid w:val="4C778F87"/>
    <w:rsid w:val="4C99BB36"/>
    <w:rsid w:val="4CCD5F33"/>
    <w:rsid w:val="4D21BCCA"/>
    <w:rsid w:val="4D3E65BF"/>
    <w:rsid w:val="4D57ED7F"/>
    <w:rsid w:val="4D5BCCD7"/>
    <w:rsid w:val="4DD37DFC"/>
    <w:rsid w:val="4EF323FD"/>
    <w:rsid w:val="4F0FBE52"/>
    <w:rsid w:val="4F21A1FE"/>
    <w:rsid w:val="4F27E437"/>
    <w:rsid w:val="4F58E1AB"/>
    <w:rsid w:val="4FEFB197"/>
    <w:rsid w:val="4FF3BFAD"/>
    <w:rsid w:val="4FF3FC2D"/>
    <w:rsid w:val="50010ADD"/>
    <w:rsid w:val="500C3667"/>
    <w:rsid w:val="507A3BAB"/>
    <w:rsid w:val="50A5DCEC"/>
    <w:rsid w:val="50BE42ED"/>
    <w:rsid w:val="50F83021"/>
    <w:rsid w:val="512A998C"/>
    <w:rsid w:val="51851326"/>
    <w:rsid w:val="518F68EC"/>
    <w:rsid w:val="5202A5C2"/>
    <w:rsid w:val="5246499D"/>
    <w:rsid w:val="528D8148"/>
    <w:rsid w:val="52A24FF3"/>
    <w:rsid w:val="52AB12D1"/>
    <w:rsid w:val="5350A136"/>
    <w:rsid w:val="538D9DD7"/>
    <w:rsid w:val="53BC9A37"/>
    <w:rsid w:val="541AA549"/>
    <w:rsid w:val="541EA59F"/>
    <w:rsid w:val="5439A28D"/>
    <w:rsid w:val="54919972"/>
    <w:rsid w:val="54A6E75C"/>
    <w:rsid w:val="556BE093"/>
    <w:rsid w:val="55B8D977"/>
    <w:rsid w:val="5612BDCE"/>
    <w:rsid w:val="563B911E"/>
    <w:rsid w:val="56498B07"/>
    <w:rsid w:val="56F5DF12"/>
    <w:rsid w:val="56F99581"/>
    <w:rsid w:val="5741DDB3"/>
    <w:rsid w:val="579669D1"/>
    <w:rsid w:val="592015FD"/>
    <w:rsid w:val="59B59A6E"/>
    <w:rsid w:val="5A06BB63"/>
    <w:rsid w:val="5A2A84AF"/>
    <w:rsid w:val="5A3B1A0F"/>
    <w:rsid w:val="5A7A1F7D"/>
    <w:rsid w:val="5AC66519"/>
    <w:rsid w:val="5B101E15"/>
    <w:rsid w:val="5B3750F9"/>
    <w:rsid w:val="5B5D92E1"/>
    <w:rsid w:val="5B60DC54"/>
    <w:rsid w:val="5B7B1092"/>
    <w:rsid w:val="5B90AA13"/>
    <w:rsid w:val="5BE1CF8E"/>
    <w:rsid w:val="5BFE9EC8"/>
    <w:rsid w:val="5C0D4FE8"/>
    <w:rsid w:val="5C772597"/>
    <w:rsid w:val="5CA6E564"/>
    <w:rsid w:val="5CAA1E18"/>
    <w:rsid w:val="5CAA4E3A"/>
    <w:rsid w:val="5D0CF83F"/>
    <w:rsid w:val="5D5AD22D"/>
    <w:rsid w:val="5D669C60"/>
    <w:rsid w:val="5D708AF5"/>
    <w:rsid w:val="5DAE1D66"/>
    <w:rsid w:val="5DD62150"/>
    <w:rsid w:val="5E9FFD04"/>
    <w:rsid w:val="5EC8712C"/>
    <w:rsid w:val="5ED3F138"/>
    <w:rsid w:val="5EF396ED"/>
    <w:rsid w:val="603FFA8E"/>
    <w:rsid w:val="6042CCE0"/>
    <w:rsid w:val="6057BBE7"/>
    <w:rsid w:val="60D0903C"/>
    <w:rsid w:val="61192879"/>
    <w:rsid w:val="611E096A"/>
    <w:rsid w:val="6182D984"/>
    <w:rsid w:val="61894A20"/>
    <w:rsid w:val="62ACB9D5"/>
    <w:rsid w:val="62ECECA8"/>
    <w:rsid w:val="632F0BF5"/>
    <w:rsid w:val="6365C5B7"/>
    <w:rsid w:val="63701568"/>
    <w:rsid w:val="639E6EF2"/>
    <w:rsid w:val="640A6C8F"/>
    <w:rsid w:val="642698E6"/>
    <w:rsid w:val="648345A4"/>
    <w:rsid w:val="64F4072C"/>
    <w:rsid w:val="64F61656"/>
    <w:rsid w:val="64FA91CC"/>
    <w:rsid w:val="6520C1A9"/>
    <w:rsid w:val="6566C735"/>
    <w:rsid w:val="65D47588"/>
    <w:rsid w:val="66445F1B"/>
    <w:rsid w:val="66480F44"/>
    <w:rsid w:val="66C13E81"/>
    <w:rsid w:val="66E93588"/>
    <w:rsid w:val="67662B0F"/>
    <w:rsid w:val="67C8DCDE"/>
    <w:rsid w:val="68308CE0"/>
    <w:rsid w:val="683F7F1A"/>
    <w:rsid w:val="68584259"/>
    <w:rsid w:val="68C0E219"/>
    <w:rsid w:val="6A33D3CE"/>
    <w:rsid w:val="6A4FB6C5"/>
    <w:rsid w:val="6A7B1A52"/>
    <w:rsid w:val="6A998F07"/>
    <w:rsid w:val="6AAB6BC7"/>
    <w:rsid w:val="6AE200BE"/>
    <w:rsid w:val="6B34DBB9"/>
    <w:rsid w:val="6B6A1057"/>
    <w:rsid w:val="6B714094"/>
    <w:rsid w:val="6BAD6DE6"/>
    <w:rsid w:val="6C1F74E3"/>
    <w:rsid w:val="6C98AA24"/>
    <w:rsid w:val="6D2CDC24"/>
    <w:rsid w:val="6E5EA78B"/>
    <w:rsid w:val="6E61F3B1"/>
    <w:rsid w:val="6E78228B"/>
    <w:rsid w:val="6EBFBFAF"/>
    <w:rsid w:val="6ECF0F14"/>
    <w:rsid w:val="6F212DDA"/>
    <w:rsid w:val="6F546F05"/>
    <w:rsid w:val="6F6B2CED"/>
    <w:rsid w:val="6F8C941D"/>
    <w:rsid w:val="70121C09"/>
    <w:rsid w:val="702D79D5"/>
    <w:rsid w:val="710A0670"/>
    <w:rsid w:val="7159994F"/>
    <w:rsid w:val="7177DC06"/>
    <w:rsid w:val="717EBC68"/>
    <w:rsid w:val="71E95FB4"/>
    <w:rsid w:val="7213FF08"/>
    <w:rsid w:val="721424EE"/>
    <w:rsid w:val="727F208A"/>
    <w:rsid w:val="72ADF4C3"/>
    <w:rsid w:val="72AE182B"/>
    <w:rsid w:val="72E44F19"/>
    <w:rsid w:val="72E70376"/>
    <w:rsid w:val="731AF0B9"/>
    <w:rsid w:val="734FC477"/>
    <w:rsid w:val="73B27992"/>
    <w:rsid w:val="73B87445"/>
    <w:rsid w:val="73D22575"/>
    <w:rsid w:val="73F64859"/>
    <w:rsid w:val="74053E62"/>
    <w:rsid w:val="7405A047"/>
    <w:rsid w:val="74155F4E"/>
    <w:rsid w:val="7428B267"/>
    <w:rsid w:val="7444C0D5"/>
    <w:rsid w:val="744F8515"/>
    <w:rsid w:val="7500CA22"/>
    <w:rsid w:val="756F117A"/>
    <w:rsid w:val="75C1DCF0"/>
    <w:rsid w:val="75E870DF"/>
    <w:rsid w:val="75ED062F"/>
    <w:rsid w:val="760E5446"/>
    <w:rsid w:val="762ECC94"/>
    <w:rsid w:val="764D7BDA"/>
    <w:rsid w:val="7668BE90"/>
    <w:rsid w:val="773A14C6"/>
    <w:rsid w:val="77753569"/>
    <w:rsid w:val="77C852EB"/>
    <w:rsid w:val="7803C4A9"/>
    <w:rsid w:val="784A23AC"/>
    <w:rsid w:val="78F72B33"/>
    <w:rsid w:val="79AD4F2E"/>
    <w:rsid w:val="79BECF86"/>
    <w:rsid w:val="79CFEDC3"/>
    <w:rsid w:val="7A1036A4"/>
    <w:rsid w:val="7A22DF59"/>
    <w:rsid w:val="7A2CFE76"/>
    <w:rsid w:val="7A76D697"/>
    <w:rsid w:val="7A77B3C0"/>
    <w:rsid w:val="7B158F01"/>
    <w:rsid w:val="7B269D92"/>
    <w:rsid w:val="7B97A5CA"/>
    <w:rsid w:val="7BFF2EDC"/>
    <w:rsid w:val="7C35C405"/>
    <w:rsid w:val="7C8B205A"/>
    <w:rsid w:val="7CE1993A"/>
    <w:rsid w:val="7CF031A5"/>
    <w:rsid w:val="7D670818"/>
    <w:rsid w:val="7D850595"/>
    <w:rsid w:val="7DB14D81"/>
    <w:rsid w:val="7E2B3DD8"/>
    <w:rsid w:val="7E2B8778"/>
    <w:rsid w:val="7E80C20C"/>
    <w:rsid w:val="7F0580EA"/>
    <w:rsid w:val="7F1890A4"/>
    <w:rsid w:val="7F46B06B"/>
    <w:rsid w:val="7F56EEEA"/>
    <w:rsid w:val="7F7E0D94"/>
    <w:rsid w:val="7FC89EDC"/>
    <w:rsid w:val="7FCCC9B4"/>
    <w:rsid w:val="7FE5A9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722DE"/>
  <w15:chartTrackingRefBased/>
  <w15:docId w15:val="{039F2065-CD87-4206-BE9F-7FA4E5B5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BC"/>
    <w:pPr>
      <w:spacing w:before="120" w:after="240" w:line="240" w:lineRule="auto"/>
      <w:jc w:val="both"/>
    </w:pPr>
    <w:rPr>
      <w:rFonts w:ascii="Times New Roman" w:hAnsi="Times New Roman"/>
      <w:sz w:val="24"/>
    </w:rPr>
  </w:style>
  <w:style w:type="paragraph" w:styleId="Heading1">
    <w:name w:val="heading 1"/>
    <w:basedOn w:val="Normal"/>
    <w:next w:val="Normal"/>
    <w:link w:val="Heading1Char"/>
    <w:qFormat/>
    <w:rsid w:val="009F5E7E"/>
    <w:pPr>
      <w:keepNext/>
      <w:keepLines/>
      <w:numPr>
        <w:numId w:val="1"/>
      </w:numPr>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nhideWhenUsed/>
    <w:qFormat/>
    <w:rsid w:val="009F5E7E"/>
    <w:pPr>
      <w:keepNext/>
      <w:keepLines/>
      <w:jc w:val="left"/>
      <w:outlineLvl w:val="1"/>
    </w:pPr>
    <w:rPr>
      <w:rFonts w:eastAsiaTheme="majorEastAsia" w:cstheme="majorBidi"/>
      <w:color w:val="2E74B5" w:themeColor="accent1" w:themeShade="BF"/>
      <w:sz w:val="28"/>
      <w:szCs w:val="26"/>
    </w:rPr>
  </w:style>
  <w:style w:type="paragraph" w:styleId="Heading3">
    <w:name w:val="heading 3"/>
    <w:basedOn w:val="Heading2"/>
    <w:next w:val="Normal"/>
    <w:link w:val="Heading3Char"/>
    <w:unhideWhenUsed/>
    <w:qFormat/>
    <w:rsid w:val="009F5E7E"/>
    <w:pPr>
      <w:outlineLvl w:val="2"/>
    </w:pPr>
    <w:rPr>
      <w:i/>
      <w:szCs w:val="24"/>
    </w:rPr>
  </w:style>
  <w:style w:type="paragraph" w:styleId="Heading4">
    <w:name w:val="heading 4"/>
    <w:basedOn w:val="Normal"/>
    <w:next w:val="Normal"/>
    <w:link w:val="Heading4Char"/>
    <w:unhideWhenUsed/>
    <w:qFormat/>
    <w:rsid w:val="009F5E7E"/>
    <w:pPr>
      <w:keepNext/>
      <w:keepLines/>
      <w:spacing w:after="360"/>
      <w:outlineLvl w:val="3"/>
    </w:pPr>
    <w:rPr>
      <w:rFonts w:asciiTheme="majorHAnsi" w:eastAsiaTheme="majorEastAsia" w:hAnsiTheme="majorHAnsi" w:cstheme="majorBidi"/>
      <w:i/>
      <w:iCs/>
      <w:color w:val="2E74B5" w:themeColor="accent1" w:themeShade="BF"/>
      <w:sz w:val="28"/>
    </w:rPr>
  </w:style>
  <w:style w:type="paragraph" w:styleId="Heading5">
    <w:name w:val="heading 5"/>
    <w:basedOn w:val="Normal"/>
    <w:next w:val="Normal"/>
    <w:link w:val="Heading5Char"/>
    <w:unhideWhenUsed/>
    <w:qFormat/>
    <w:rsid w:val="0036467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374532"/>
    <w:pPr>
      <w:keepNext/>
      <w:keepLines/>
      <w:spacing w:before="200" w:after="40" w:line="259" w:lineRule="auto"/>
      <w:jc w:val="left"/>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E7E"/>
    <w:rPr>
      <w:rFonts w:ascii="Times New Roman" w:eastAsiaTheme="majorEastAsia" w:hAnsi="Times New Roman" w:cstheme="majorBidi"/>
      <w:color w:val="1F4E79" w:themeColor="accent1" w:themeShade="80"/>
      <w:sz w:val="32"/>
      <w:szCs w:val="32"/>
    </w:rPr>
  </w:style>
  <w:style w:type="paragraph" w:styleId="FootnoteText">
    <w:name w:val="footnote text"/>
    <w:basedOn w:val="Normal"/>
    <w:link w:val="FootnoteTextChar"/>
    <w:uiPriority w:val="99"/>
    <w:unhideWhenUsed/>
    <w:qFormat/>
    <w:rsid w:val="00602BB6"/>
    <w:pPr>
      <w:spacing w:after="0"/>
    </w:pPr>
    <w:rPr>
      <w:sz w:val="20"/>
      <w:szCs w:val="20"/>
    </w:rPr>
  </w:style>
  <w:style w:type="character" w:customStyle="1" w:styleId="FootnoteTextChar">
    <w:name w:val="Footnote Text Char"/>
    <w:basedOn w:val="DefaultParagraphFont"/>
    <w:link w:val="FootnoteText"/>
    <w:uiPriority w:val="99"/>
    <w:qFormat/>
    <w:rsid w:val="00602BB6"/>
    <w:rPr>
      <w:rFonts w:ascii="Times New Roman" w:hAnsi="Times New Roman"/>
      <w:sz w:val="20"/>
      <w:szCs w:val="20"/>
    </w:rPr>
  </w:style>
  <w:style w:type="character" w:styleId="FootnoteReference">
    <w:name w:val="footnote reference"/>
    <w:basedOn w:val="DefaultParagraphFont"/>
    <w:link w:val="BVIfnrCharChar"/>
    <w:uiPriority w:val="99"/>
    <w:unhideWhenUsed/>
    <w:qFormat/>
    <w:rsid w:val="007A01F0"/>
    <w:rPr>
      <w:rFonts w:ascii="Times New Roman" w:hAnsi="Times New Roman"/>
      <w:sz w:val="18"/>
      <w:vertAlign w:val="superscript"/>
    </w:rPr>
  </w:style>
  <w:style w:type="character" w:styleId="CommentReference">
    <w:name w:val="annotation reference"/>
    <w:basedOn w:val="DefaultParagraphFont"/>
    <w:uiPriority w:val="99"/>
    <w:semiHidden/>
    <w:unhideWhenUsed/>
    <w:rsid w:val="0061545D"/>
    <w:rPr>
      <w:sz w:val="16"/>
      <w:szCs w:val="16"/>
    </w:rPr>
  </w:style>
  <w:style w:type="paragraph" w:styleId="CommentText">
    <w:name w:val="annotation text"/>
    <w:basedOn w:val="Normal"/>
    <w:link w:val="CommentTextChar"/>
    <w:uiPriority w:val="99"/>
    <w:unhideWhenUsed/>
    <w:rsid w:val="0061545D"/>
    <w:rPr>
      <w:sz w:val="20"/>
      <w:szCs w:val="20"/>
    </w:rPr>
  </w:style>
  <w:style w:type="character" w:customStyle="1" w:styleId="CommentTextChar">
    <w:name w:val="Comment Text Char"/>
    <w:basedOn w:val="DefaultParagraphFont"/>
    <w:link w:val="CommentText"/>
    <w:uiPriority w:val="99"/>
    <w:rsid w:val="006154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545D"/>
    <w:rPr>
      <w:b/>
      <w:bCs/>
    </w:rPr>
  </w:style>
  <w:style w:type="character" w:customStyle="1" w:styleId="CommentSubjectChar">
    <w:name w:val="Comment Subject Char"/>
    <w:basedOn w:val="CommentTextChar"/>
    <w:link w:val="CommentSubject"/>
    <w:uiPriority w:val="99"/>
    <w:semiHidden/>
    <w:rsid w:val="0061545D"/>
    <w:rPr>
      <w:rFonts w:ascii="Times New Roman" w:hAnsi="Times New Roman"/>
      <w:b/>
      <w:bCs/>
      <w:sz w:val="20"/>
      <w:szCs w:val="20"/>
    </w:rPr>
  </w:style>
  <w:style w:type="paragraph" w:styleId="BalloonText">
    <w:name w:val="Balloon Text"/>
    <w:basedOn w:val="Normal"/>
    <w:link w:val="BalloonTextChar"/>
    <w:uiPriority w:val="99"/>
    <w:semiHidden/>
    <w:unhideWhenUsed/>
    <w:rsid w:val="006154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45D"/>
    <w:rPr>
      <w:rFonts w:ascii="Segoe UI" w:hAnsi="Segoe UI" w:cs="Segoe UI"/>
      <w:sz w:val="18"/>
      <w:szCs w:val="18"/>
    </w:rPr>
  </w:style>
  <w:style w:type="character" w:customStyle="1" w:styleId="Heading3Char">
    <w:name w:val="Heading 3 Char"/>
    <w:basedOn w:val="DefaultParagraphFont"/>
    <w:link w:val="Heading3"/>
    <w:rsid w:val="009F5E7E"/>
    <w:rPr>
      <w:rFonts w:ascii="Times New Roman" w:eastAsiaTheme="majorEastAsia" w:hAnsi="Times New Roman" w:cstheme="majorBidi"/>
      <w:i/>
      <w:color w:val="2E74B5" w:themeColor="accent1" w:themeShade="BF"/>
      <w:sz w:val="28"/>
      <w:szCs w:val="24"/>
    </w:rPr>
  </w:style>
  <w:style w:type="character" w:styleId="Hyperlink">
    <w:name w:val="Hyperlink"/>
    <w:basedOn w:val="DefaultParagraphFont"/>
    <w:uiPriority w:val="99"/>
    <w:unhideWhenUsed/>
    <w:rsid w:val="004505DE"/>
    <w:rPr>
      <w:color w:val="0563C1" w:themeColor="hyperlink"/>
      <w:u w:val="single"/>
    </w:rPr>
  </w:style>
  <w:style w:type="paragraph" w:styleId="Header">
    <w:name w:val="header"/>
    <w:basedOn w:val="Normal"/>
    <w:link w:val="HeaderChar"/>
    <w:unhideWhenUsed/>
    <w:rsid w:val="00E66AB1"/>
    <w:pPr>
      <w:tabs>
        <w:tab w:val="center" w:pos="4513"/>
        <w:tab w:val="right" w:pos="9026"/>
      </w:tabs>
      <w:spacing w:after="0"/>
    </w:pPr>
  </w:style>
  <w:style w:type="character" w:customStyle="1" w:styleId="HeaderChar">
    <w:name w:val="Header Char"/>
    <w:basedOn w:val="DefaultParagraphFont"/>
    <w:link w:val="Header"/>
    <w:rsid w:val="00E66AB1"/>
    <w:rPr>
      <w:rFonts w:ascii="Times New Roman" w:hAnsi="Times New Roman"/>
      <w:sz w:val="24"/>
    </w:rPr>
  </w:style>
  <w:style w:type="paragraph" w:styleId="Footer">
    <w:name w:val="footer"/>
    <w:basedOn w:val="Normal"/>
    <w:link w:val="FooterChar"/>
    <w:uiPriority w:val="99"/>
    <w:unhideWhenUsed/>
    <w:rsid w:val="00E66AB1"/>
    <w:pPr>
      <w:tabs>
        <w:tab w:val="center" w:pos="4513"/>
        <w:tab w:val="right" w:pos="9026"/>
      </w:tabs>
      <w:spacing w:after="0"/>
    </w:pPr>
  </w:style>
  <w:style w:type="character" w:customStyle="1" w:styleId="FooterChar">
    <w:name w:val="Footer Char"/>
    <w:basedOn w:val="DefaultParagraphFont"/>
    <w:link w:val="Footer"/>
    <w:uiPriority w:val="99"/>
    <w:rsid w:val="00E66AB1"/>
    <w:rPr>
      <w:rFonts w:ascii="Times New Roman" w:hAnsi="Times New Roman"/>
      <w:sz w:val="24"/>
    </w:rPr>
  </w:style>
  <w:style w:type="character" w:styleId="FollowedHyperlink">
    <w:name w:val="FollowedHyperlink"/>
    <w:basedOn w:val="DefaultParagraphFont"/>
    <w:uiPriority w:val="99"/>
    <w:semiHidden/>
    <w:unhideWhenUsed/>
    <w:rsid w:val="00713991"/>
    <w:rPr>
      <w:color w:val="954F72" w:themeColor="followedHyperlink"/>
      <w:u w:val="single"/>
    </w:rPr>
  </w:style>
  <w:style w:type="character" w:customStyle="1" w:styleId="Heading2Char">
    <w:name w:val="Heading 2 Char"/>
    <w:basedOn w:val="DefaultParagraphFont"/>
    <w:link w:val="Heading2"/>
    <w:rsid w:val="009F5E7E"/>
    <w:rPr>
      <w:rFonts w:ascii="Times New Roman" w:eastAsiaTheme="majorEastAsia" w:hAnsi="Times New Roman" w:cstheme="majorBidi"/>
      <w:color w:val="2E74B5" w:themeColor="accent1" w:themeShade="BF"/>
      <w:sz w:val="28"/>
      <w:szCs w:val="26"/>
    </w:rPr>
  </w:style>
  <w:style w:type="paragraph" w:styleId="ListParagraph">
    <w:name w:val="List Paragraph"/>
    <w:aliases w:val="Normal 1,List Paragraph (numbered (a)),List Paragraph 1,Akapit z listą BS,Bullets,Bullet Points,Liste Paragraf,Paragraph,Citation List,Resume Title,Paragraphe de liste PBLH,Normal bullet 2,Bullet list,Figure_name,Equipment,lp1,Bullets 2B"/>
    <w:basedOn w:val="Normal"/>
    <w:link w:val="ListParagraphChar"/>
    <w:uiPriority w:val="34"/>
    <w:qFormat/>
    <w:rsid w:val="00C7563E"/>
    <w:pPr>
      <w:ind w:left="720"/>
      <w:contextualSpacing/>
    </w:pPr>
  </w:style>
  <w:style w:type="paragraph" w:styleId="Caption">
    <w:name w:val="caption"/>
    <w:basedOn w:val="Normal"/>
    <w:next w:val="Normal"/>
    <w:uiPriority w:val="35"/>
    <w:unhideWhenUsed/>
    <w:qFormat/>
    <w:rsid w:val="00184149"/>
    <w:pPr>
      <w:spacing w:before="0" w:after="200"/>
    </w:pPr>
    <w:rPr>
      <w:i/>
      <w:iCs/>
      <w:color w:val="44546A" w:themeColor="text2"/>
      <w:sz w:val="18"/>
      <w:szCs w:val="18"/>
    </w:rPr>
  </w:style>
  <w:style w:type="character" w:customStyle="1" w:styleId="Heading5Char">
    <w:name w:val="Heading 5 Char"/>
    <w:basedOn w:val="DefaultParagraphFont"/>
    <w:link w:val="Heading5"/>
    <w:rsid w:val="00364673"/>
    <w:rPr>
      <w:rFonts w:asciiTheme="majorHAnsi" w:eastAsiaTheme="majorEastAsia" w:hAnsiTheme="majorHAnsi" w:cstheme="majorBidi"/>
      <w:color w:val="2E74B5" w:themeColor="accent1" w:themeShade="BF"/>
      <w:sz w:val="24"/>
    </w:rPr>
  </w:style>
  <w:style w:type="character" w:customStyle="1" w:styleId="Heading4Char">
    <w:name w:val="Heading 4 Char"/>
    <w:basedOn w:val="DefaultParagraphFont"/>
    <w:link w:val="Heading4"/>
    <w:rsid w:val="009F5E7E"/>
    <w:rPr>
      <w:rFonts w:asciiTheme="majorHAnsi" w:eastAsiaTheme="majorEastAsia" w:hAnsiTheme="majorHAnsi" w:cstheme="majorBidi"/>
      <w:i/>
      <w:iCs/>
      <w:color w:val="2E74B5" w:themeColor="accent1" w:themeShade="BF"/>
      <w:sz w:val="28"/>
    </w:rPr>
  </w:style>
  <w:style w:type="paragraph" w:styleId="TOC1">
    <w:name w:val="toc 1"/>
    <w:basedOn w:val="Normal"/>
    <w:next w:val="Normal"/>
    <w:autoRedefine/>
    <w:uiPriority w:val="39"/>
    <w:unhideWhenUsed/>
    <w:rsid w:val="00391D48"/>
    <w:pPr>
      <w:spacing w:after="100"/>
    </w:pPr>
  </w:style>
  <w:style w:type="paragraph" w:styleId="TOC2">
    <w:name w:val="toc 2"/>
    <w:basedOn w:val="Normal"/>
    <w:next w:val="Normal"/>
    <w:autoRedefine/>
    <w:uiPriority w:val="39"/>
    <w:unhideWhenUsed/>
    <w:rsid w:val="00A22029"/>
    <w:pPr>
      <w:tabs>
        <w:tab w:val="right" w:leader="dot" w:pos="9016"/>
      </w:tabs>
      <w:spacing w:after="100"/>
      <w:ind w:left="720"/>
    </w:pPr>
    <w:rPr>
      <w:noProof/>
    </w:rPr>
  </w:style>
  <w:style w:type="paragraph" w:styleId="TOC4">
    <w:name w:val="toc 4"/>
    <w:basedOn w:val="Normal"/>
    <w:next w:val="Normal"/>
    <w:autoRedefine/>
    <w:uiPriority w:val="39"/>
    <w:unhideWhenUsed/>
    <w:rsid w:val="00391D48"/>
    <w:pPr>
      <w:spacing w:after="100"/>
      <w:ind w:left="720"/>
    </w:pPr>
  </w:style>
  <w:style w:type="paragraph" w:customStyle="1" w:styleId="BVIfnrCharChar">
    <w:name w:val="BVI fnr Char Char"/>
    <w:basedOn w:val="Normal"/>
    <w:link w:val="FootnoteReference"/>
    <w:uiPriority w:val="99"/>
    <w:rsid w:val="00CA4068"/>
    <w:pPr>
      <w:spacing w:after="160" w:line="240" w:lineRule="exact"/>
    </w:pPr>
    <w:rPr>
      <w:sz w:val="18"/>
      <w:vertAlign w:val="superscript"/>
    </w:rPr>
  </w:style>
  <w:style w:type="character" w:customStyle="1" w:styleId="markedcontent">
    <w:name w:val="markedcontent"/>
    <w:basedOn w:val="DefaultParagraphFont"/>
    <w:rsid w:val="00CA4068"/>
  </w:style>
  <w:style w:type="paragraph" w:customStyle="1" w:styleId="KAS-P-Tabelle-Thema">
    <w:name w:val="KAS-P-Tabelle-Thema"/>
    <w:basedOn w:val="Normal"/>
    <w:qFormat/>
    <w:rsid w:val="002B4178"/>
    <w:pPr>
      <w:spacing w:before="0" w:after="0" w:line="260" w:lineRule="atLeast"/>
      <w:jc w:val="left"/>
    </w:pPr>
    <w:rPr>
      <w:rFonts w:ascii="Open Sans" w:eastAsia="Open Sans" w:hAnsi="Open Sans" w:cs="Times New Roman"/>
      <w:b/>
      <w:color w:val="004682"/>
      <w:sz w:val="18"/>
      <w:lang w:val="de-DE"/>
    </w:rPr>
  </w:style>
  <w:style w:type="paragraph" w:styleId="NormalWeb">
    <w:name w:val="Normal (Web)"/>
    <w:basedOn w:val="Normal"/>
    <w:uiPriority w:val="99"/>
    <w:unhideWhenUsed/>
    <w:rsid w:val="002B4178"/>
    <w:pPr>
      <w:spacing w:before="100" w:beforeAutospacing="1" w:after="100" w:afterAutospacing="1"/>
      <w:jc w:val="left"/>
    </w:pPr>
    <w:rPr>
      <w:rFonts w:eastAsia="Times New Roman" w:cs="Times New Roman"/>
      <w:szCs w:val="24"/>
      <w:lang w:val="en-US"/>
    </w:rPr>
  </w:style>
  <w:style w:type="paragraph" w:styleId="NoSpacing">
    <w:name w:val="No Spacing"/>
    <w:link w:val="NoSpacingChar"/>
    <w:uiPriority w:val="1"/>
    <w:qFormat/>
    <w:rsid w:val="00792262"/>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B62209"/>
    <w:rPr>
      <w:rFonts w:ascii="Calibri" w:eastAsia="Calibri" w:hAnsi="Calibri" w:cs="Times New Roman"/>
    </w:rPr>
  </w:style>
  <w:style w:type="character" w:customStyle="1" w:styleId="xrphighlightallclass">
    <w:name w:val="x_rphighlightallclass"/>
    <w:basedOn w:val="DefaultParagraphFont"/>
    <w:rsid w:val="00B62209"/>
  </w:style>
  <w:style w:type="numbering" w:customStyle="1" w:styleId="Style1">
    <w:name w:val="Style1"/>
    <w:uiPriority w:val="99"/>
    <w:rsid w:val="00A82F4F"/>
    <w:pPr>
      <w:numPr>
        <w:numId w:val="2"/>
      </w:numPr>
    </w:pPr>
  </w:style>
  <w:style w:type="paragraph" w:styleId="TOC3">
    <w:name w:val="toc 3"/>
    <w:basedOn w:val="Normal"/>
    <w:next w:val="Normal"/>
    <w:autoRedefine/>
    <w:uiPriority w:val="39"/>
    <w:unhideWhenUsed/>
    <w:rsid w:val="00A87A47"/>
    <w:pPr>
      <w:tabs>
        <w:tab w:val="right" w:leader="dot" w:pos="9016"/>
      </w:tabs>
      <w:spacing w:after="100"/>
      <w:ind w:left="1440"/>
      <w:jc w:val="left"/>
    </w:pPr>
  </w:style>
  <w:style w:type="paragraph" w:styleId="Revision">
    <w:name w:val="Revision"/>
    <w:hidden/>
    <w:uiPriority w:val="99"/>
    <w:semiHidden/>
    <w:rsid w:val="00F4433E"/>
    <w:pPr>
      <w:spacing w:after="0" w:line="240" w:lineRule="auto"/>
    </w:pPr>
    <w:rPr>
      <w:rFonts w:ascii="Times New Roman" w:hAnsi="Times New Roman"/>
      <w:sz w:val="24"/>
    </w:rPr>
  </w:style>
  <w:style w:type="paragraph" w:customStyle="1" w:styleId="Default">
    <w:name w:val="Default"/>
    <w:rsid w:val="0041585F"/>
    <w:pPr>
      <w:autoSpaceDE w:val="0"/>
      <w:autoSpaceDN w:val="0"/>
      <w:adjustRightInd w:val="0"/>
      <w:spacing w:after="0" w:line="240" w:lineRule="auto"/>
    </w:pPr>
    <w:rPr>
      <w:rFonts w:ascii="Calibri" w:eastAsia="Calibri" w:hAnsi="Calibri" w:cs="Calibri"/>
      <w:color w:val="000000"/>
      <w:sz w:val="24"/>
      <w:szCs w:val="24"/>
      <w:lang w:val="bs-Latn-BA"/>
    </w:rPr>
  </w:style>
  <w:style w:type="character" w:customStyle="1" w:styleId="ListParagraphChar">
    <w:name w:val="List Paragraph Char"/>
    <w:aliases w:val="Normal 1 Char,List Paragraph (numbered (a)) Char,List Paragraph 1 Char,Akapit z listą BS Char,Bullets Char,Bullet Points Char,Liste Paragraf Char,Paragraph Char,Citation List Char,Resume Title Char,Paragraphe de liste PBLH Char"/>
    <w:link w:val="ListParagraph"/>
    <w:uiPriority w:val="34"/>
    <w:qFormat/>
    <w:rsid w:val="00374532"/>
    <w:rPr>
      <w:rFonts w:ascii="Times New Roman" w:hAnsi="Times New Roman"/>
      <w:sz w:val="24"/>
    </w:rPr>
  </w:style>
  <w:style w:type="character" w:customStyle="1" w:styleId="Heading6Char">
    <w:name w:val="Heading 6 Char"/>
    <w:basedOn w:val="DefaultParagraphFont"/>
    <w:link w:val="Heading6"/>
    <w:rsid w:val="00374532"/>
    <w:rPr>
      <w:rFonts w:ascii="Calibri" w:eastAsia="Calibri" w:hAnsi="Calibri" w:cs="Calibri"/>
      <w:b/>
      <w:sz w:val="20"/>
      <w:szCs w:val="20"/>
      <w:lang w:val="en-US"/>
    </w:rPr>
  </w:style>
  <w:style w:type="paragraph" w:styleId="Title">
    <w:name w:val="Title"/>
    <w:basedOn w:val="Normal"/>
    <w:next w:val="Normal"/>
    <w:link w:val="TitleChar"/>
    <w:rsid w:val="00374532"/>
    <w:pPr>
      <w:keepNext/>
      <w:keepLines/>
      <w:spacing w:before="480" w:after="120" w:line="259" w:lineRule="auto"/>
      <w:jc w:val="left"/>
    </w:pPr>
    <w:rPr>
      <w:rFonts w:ascii="Calibri" w:eastAsia="Calibri" w:hAnsi="Calibri" w:cs="Calibri"/>
      <w:b/>
      <w:sz w:val="72"/>
      <w:szCs w:val="72"/>
      <w:lang w:val="en-US"/>
    </w:rPr>
  </w:style>
  <w:style w:type="character" w:customStyle="1" w:styleId="TitleChar">
    <w:name w:val="Title Char"/>
    <w:basedOn w:val="DefaultParagraphFont"/>
    <w:link w:val="Title"/>
    <w:rsid w:val="00374532"/>
    <w:rPr>
      <w:rFonts w:ascii="Calibri" w:eastAsia="Calibri" w:hAnsi="Calibri" w:cs="Calibri"/>
      <w:b/>
      <w:sz w:val="72"/>
      <w:szCs w:val="72"/>
      <w:lang w:val="en-US"/>
    </w:rPr>
  </w:style>
  <w:style w:type="paragraph" w:styleId="Subtitle">
    <w:name w:val="Subtitle"/>
    <w:basedOn w:val="Normal"/>
    <w:next w:val="Normal"/>
    <w:link w:val="SubtitleChar"/>
    <w:rsid w:val="00374532"/>
    <w:pPr>
      <w:keepNext/>
      <w:keepLines/>
      <w:spacing w:before="360" w:after="80" w:line="259" w:lineRule="auto"/>
      <w:jc w:val="left"/>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rsid w:val="00374532"/>
    <w:rPr>
      <w:rFonts w:ascii="Georgia" w:eastAsia="Georgia" w:hAnsi="Georgia" w:cs="Georgia"/>
      <w:i/>
      <w:color w:val="666666"/>
      <w:sz w:val="48"/>
      <w:szCs w:val="48"/>
      <w:lang w:val="en-US"/>
    </w:rPr>
  </w:style>
  <w:style w:type="paragraph" w:customStyle="1" w:styleId="msonormal0">
    <w:name w:val="msonormal"/>
    <w:basedOn w:val="Normal"/>
    <w:rsid w:val="00374532"/>
    <w:pPr>
      <w:spacing w:before="100" w:beforeAutospacing="1" w:after="100" w:afterAutospacing="1"/>
      <w:jc w:val="left"/>
    </w:pPr>
    <w:rPr>
      <w:rFonts w:eastAsia="Times New Roman" w:cs="Times New Roman"/>
      <w:szCs w:val="24"/>
      <w:lang w:eastAsia="en-GB"/>
    </w:rPr>
  </w:style>
  <w:style w:type="character" w:customStyle="1" w:styleId="apple-tab-span">
    <w:name w:val="apple-tab-span"/>
    <w:basedOn w:val="DefaultParagraphFont"/>
    <w:rsid w:val="00374532"/>
  </w:style>
  <w:style w:type="character" w:customStyle="1" w:styleId="rynqvb">
    <w:name w:val="rynqvb"/>
    <w:basedOn w:val="DefaultParagraphFont"/>
    <w:rsid w:val="00A767F0"/>
  </w:style>
  <w:style w:type="character" w:customStyle="1" w:styleId="UnresolvedMention1">
    <w:name w:val="Unresolved Mention1"/>
    <w:basedOn w:val="DefaultParagraphFont"/>
    <w:uiPriority w:val="99"/>
    <w:semiHidden/>
    <w:unhideWhenUsed/>
    <w:rsid w:val="00EC547D"/>
    <w:rPr>
      <w:color w:val="605E5C"/>
      <w:shd w:val="clear" w:color="auto" w:fill="E1DFDD"/>
    </w:rPr>
  </w:style>
  <w:style w:type="paragraph" w:customStyle="1" w:styleId="paragraph">
    <w:name w:val="paragraph"/>
    <w:basedOn w:val="Normal"/>
    <w:rsid w:val="000A1FDF"/>
    <w:pPr>
      <w:spacing w:before="100" w:beforeAutospacing="1" w:after="100" w:afterAutospacing="1"/>
      <w:jc w:val="left"/>
    </w:pPr>
    <w:rPr>
      <w:rFonts w:eastAsia="Times New Roman" w:cs="Times New Roman"/>
      <w:szCs w:val="24"/>
    </w:rPr>
  </w:style>
  <w:style w:type="character" w:customStyle="1" w:styleId="normaltextrun">
    <w:name w:val="normaltextrun"/>
    <w:basedOn w:val="DefaultParagraphFont"/>
    <w:rsid w:val="000A1FDF"/>
  </w:style>
  <w:style w:type="character" w:customStyle="1" w:styleId="eop">
    <w:name w:val="eop"/>
    <w:basedOn w:val="DefaultParagraphFont"/>
    <w:rsid w:val="000A1FDF"/>
  </w:style>
  <w:style w:type="character" w:customStyle="1" w:styleId="UnresolvedMention2">
    <w:name w:val="Unresolved Mention2"/>
    <w:basedOn w:val="DefaultParagraphFont"/>
    <w:uiPriority w:val="99"/>
    <w:semiHidden/>
    <w:unhideWhenUsed/>
    <w:rsid w:val="00640D7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3">
    <w:name w:val="Unresolved Mention3"/>
    <w:basedOn w:val="DefaultParagraphFont"/>
    <w:uiPriority w:val="99"/>
    <w:semiHidden/>
    <w:unhideWhenUsed/>
    <w:rsid w:val="005A3F2F"/>
    <w:rPr>
      <w:color w:val="605E5C"/>
      <w:shd w:val="clear" w:color="auto" w:fill="E1DFDD"/>
    </w:rPr>
  </w:style>
  <w:style w:type="character" w:styleId="Strong">
    <w:name w:val="Strong"/>
    <w:basedOn w:val="DefaultParagraphFont"/>
    <w:uiPriority w:val="22"/>
    <w:qFormat/>
    <w:rsid w:val="00E875BF"/>
    <w:rPr>
      <w:b/>
      <w:bCs/>
    </w:rPr>
  </w:style>
  <w:style w:type="character" w:styleId="Emphasis">
    <w:name w:val="Emphasis"/>
    <w:basedOn w:val="DefaultParagraphFont"/>
    <w:uiPriority w:val="20"/>
    <w:qFormat/>
    <w:rsid w:val="00B869FC"/>
    <w:rPr>
      <w:i/>
      <w:iCs/>
    </w:rPr>
  </w:style>
  <w:style w:type="character" w:customStyle="1" w:styleId="hgkelc">
    <w:name w:val="hgkelc"/>
    <w:basedOn w:val="DefaultParagraphFont"/>
    <w:rsid w:val="00A25C6C"/>
  </w:style>
  <w:style w:type="character" w:customStyle="1" w:styleId="whitespace-normal">
    <w:name w:val="whitespace-normal"/>
    <w:basedOn w:val="DefaultParagraphFont"/>
    <w:rsid w:val="00D70DB7"/>
  </w:style>
  <w:style w:type="character" w:styleId="UnresolvedMention">
    <w:name w:val="Unresolved Mention"/>
    <w:basedOn w:val="DefaultParagraphFont"/>
    <w:uiPriority w:val="99"/>
    <w:semiHidden/>
    <w:unhideWhenUsed/>
    <w:rsid w:val="00282222"/>
    <w:rPr>
      <w:color w:val="605E5C"/>
      <w:shd w:val="clear" w:color="auto" w:fill="E1DFDD"/>
    </w:rPr>
  </w:style>
  <w:style w:type="paragraph" w:styleId="PlainText">
    <w:name w:val="Plain Text"/>
    <w:basedOn w:val="Normal"/>
    <w:link w:val="PlainTextChar"/>
    <w:uiPriority w:val="99"/>
    <w:unhideWhenUsed/>
    <w:rsid w:val="00900979"/>
    <w:pPr>
      <w:spacing w:before="0" w:after="0"/>
      <w:jc w:val="left"/>
    </w:pPr>
    <w:rPr>
      <w:rFonts w:ascii="Calibri" w:hAnsi="Calibri" w:cs="Calibri"/>
      <w:sz w:val="22"/>
      <w:lang w:val="en-US"/>
    </w:rPr>
  </w:style>
  <w:style w:type="character" w:customStyle="1" w:styleId="PlainTextChar">
    <w:name w:val="Plain Text Char"/>
    <w:basedOn w:val="DefaultParagraphFont"/>
    <w:link w:val="PlainText"/>
    <w:uiPriority w:val="99"/>
    <w:rsid w:val="00900979"/>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7308">
      <w:bodyDiv w:val="1"/>
      <w:marLeft w:val="0"/>
      <w:marRight w:val="0"/>
      <w:marTop w:val="0"/>
      <w:marBottom w:val="0"/>
      <w:divBdr>
        <w:top w:val="none" w:sz="0" w:space="0" w:color="auto"/>
        <w:left w:val="none" w:sz="0" w:space="0" w:color="auto"/>
        <w:bottom w:val="none" w:sz="0" w:space="0" w:color="auto"/>
        <w:right w:val="none" w:sz="0" w:space="0" w:color="auto"/>
      </w:divBdr>
    </w:div>
    <w:div w:id="11609937">
      <w:bodyDiv w:val="1"/>
      <w:marLeft w:val="0"/>
      <w:marRight w:val="0"/>
      <w:marTop w:val="0"/>
      <w:marBottom w:val="0"/>
      <w:divBdr>
        <w:top w:val="none" w:sz="0" w:space="0" w:color="auto"/>
        <w:left w:val="none" w:sz="0" w:space="0" w:color="auto"/>
        <w:bottom w:val="none" w:sz="0" w:space="0" w:color="auto"/>
        <w:right w:val="none" w:sz="0" w:space="0" w:color="auto"/>
      </w:divBdr>
    </w:div>
    <w:div w:id="88353752">
      <w:bodyDiv w:val="1"/>
      <w:marLeft w:val="0"/>
      <w:marRight w:val="0"/>
      <w:marTop w:val="0"/>
      <w:marBottom w:val="0"/>
      <w:divBdr>
        <w:top w:val="none" w:sz="0" w:space="0" w:color="auto"/>
        <w:left w:val="none" w:sz="0" w:space="0" w:color="auto"/>
        <w:bottom w:val="none" w:sz="0" w:space="0" w:color="auto"/>
        <w:right w:val="none" w:sz="0" w:space="0" w:color="auto"/>
      </w:divBdr>
    </w:div>
    <w:div w:id="92358401">
      <w:bodyDiv w:val="1"/>
      <w:marLeft w:val="0"/>
      <w:marRight w:val="0"/>
      <w:marTop w:val="0"/>
      <w:marBottom w:val="0"/>
      <w:divBdr>
        <w:top w:val="none" w:sz="0" w:space="0" w:color="auto"/>
        <w:left w:val="none" w:sz="0" w:space="0" w:color="auto"/>
        <w:bottom w:val="none" w:sz="0" w:space="0" w:color="auto"/>
        <w:right w:val="none" w:sz="0" w:space="0" w:color="auto"/>
      </w:divBdr>
    </w:div>
    <w:div w:id="119765900">
      <w:bodyDiv w:val="1"/>
      <w:marLeft w:val="0"/>
      <w:marRight w:val="0"/>
      <w:marTop w:val="0"/>
      <w:marBottom w:val="0"/>
      <w:divBdr>
        <w:top w:val="none" w:sz="0" w:space="0" w:color="auto"/>
        <w:left w:val="none" w:sz="0" w:space="0" w:color="auto"/>
        <w:bottom w:val="none" w:sz="0" w:space="0" w:color="auto"/>
        <w:right w:val="none" w:sz="0" w:space="0" w:color="auto"/>
      </w:divBdr>
    </w:div>
    <w:div w:id="141241382">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52991553">
      <w:bodyDiv w:val="1"/>
      <w:marLeft w:val="0"/>
      <w:marRight w:val="0"/>
      <w:marTop w:val="0"/>
      <w:marBottom w:val="0"/>
      <w:divBdr>
        <w:top w:val="none" w:sz="0" w:space="0" w:color="auto"/>
        <w:left w:val="none" w:sz="0" w:space="0" w:color="auto"/>
        <w:bottom w:val="none" w:sz="0" w:space="0" w:color="auto"/>
        <w:right w:val="none" w:sz="0" w:space="0" w:color="auto"/>
      </w:divBdr>
    </w:div>
    <w:div w:id="154155082">
      <w:bodyDiv w:val="1"/>
      <w:marLeft w:val="0"/>
      <w:marRight w:val="0"/>
      <w:marTop w:val="0"/>
      <w:marBottom w:val="0"/>
      <w:divBdr>
        <w:top w:val="none" w:sz="0" w:space="0" w:color="auto"/>
        <w:left w:val="none" w:sz="0" w:space="0" w:color="auto"/>
        <w:bottom w:val="none" w:sz="0" w:space="0" w:color="auto"/>
        <w:right w:val="none" w:sz="0" w:space="0" w:color="auto"/>
      </w:divBdr>
    </w:div>
    <w:div w:id="175002110">
      <w:bodyDiv w:val="1"/>
      <w:marLeft w:val="0"/>
      <w:marRight w:val="0"/>
      <w:marTop w:val="0"/>
      <w:marBottom w:val="0"/>
      <w:divBdr>
        <w:top w:val="none" w:sz="0" w:space="0" w:color="auto"/>
        <w:left w:val="none" w:sz="0" w:space="0" w:color="auto"/>
        <w:bottom w:val="none" w:sz="0" w:space="0" w:color="auto"/>
        <w:right w:val="none" w:sz="0" w:space="0" w:color="auto"/>
      </w:divBdr>
    </w:div>
    <w:div w:id="190648920">
      <w:bodyDiv w:val="1"/>
      <w:marLeft w:val="0"/>
      <w:marRight w:val="0"/>
      <w:marTop w:val="0"/>
      <w:marBottom w:val="0"/>
      <w:divBdr>
        <w:top w:val="none" w:sz="0" w:space="0" w:color="auto"/>
        <w:left w:val="none" w:sz="0" w:space="0" w:color="auto"/>
        <w:bottom w:val="none" w:sz="0" w:space="0" w:color="auto"/>
        <w:right w:val="none" w:sz="0" w:space="0" w:color="auto"/>
      </w:divBdr>
    </w:div>
    <w:div w:id="192152853">
      <w:bodyDiv w:val="1"/>
      <w:marLeft w:val="0"/>
      <w:marRight w:val="0"/>
      <w:marTop w:val="0"/>
      <w:marBottom w:val="0"/>
      <w:divBdr>
        <w:top w:val="none" w:sz="0" w:space="0" w:color="auto"/>
        <w:left w:val="none" w:sz="0" w:space="0" w:color="auto"/>
        <w:bottom w:val="none" w:sz="0" w:space="0" w:color="auto"/>
        <w:right w:val="none" w:sz="0" w:space="0" w:color="auto"/>
      </w:divBdr>
      <w:divsChild>
        <w:div w:id="1914243994">
          <w:marLeft w:val="0"/>
          <w:marRight w:val="0"/>
          <w:marTop w:val="0"/>
          <w:marBottom w:val="0"/>
          <w:divBdr>
            <w:top w:val="none" w:sz="0" w:space="0" w:color="auto"/>
            <w:left w:val="none" w:sz="0" w:space="0" w:color="auto"/>
            <w:bottom w:val="none" w:sz="0" w:space="0" w:color="auto"/>
            <w:right w:val="none" w:sz="0" w:space="0" w:color="auto"/>
          </w:divBdr>
          <w:divsChild>
            <w:div w:id="20208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86">
      <w:bodyDiv w:val="1"/>
      <w:marLeft w:val="0"/>
      <w:marRight w:val="0"/>
      <w:marTop w:val="0"/>
      <w:marBottom w:val="0"/>
      <w:divBdr>
        <w:top w:val="none" w:sz="0" w:space="0" w:color="auto"/>
        <w:left w:val="none" w:sz="0" w:space="0" w:color="auto"/>
        <w:bottom w:val="none" w:sz="0" w:space="0" w:color="auto"/>
        <w:right w:val="none" w:sz="0" w:space="0" w:color="auto"/>
      </w:divBdr>
    </w:div>
    <w:div w:id="213195591">
      <w:bodyDiv w:val="1"/>
      <w:marLeft w:val="0"/>
      <w:marRight w:val="0"/>
      <w:marTop w:val="0"/>
      <w:marBottom w:val="0"/>
      <w:divBdr>
        <w:top w:val="none" w:sz="0" w:space="0" w:color="auto"/>
        <w:left w:val="none" w:sz="0" w:space="0" w:color="auto"/>
        <w:bottom w:val="none" w:sz="0" w:space="0" w:color="auto"/>
        <w:right w:val="none" w:sz="0" w:space="0" w:color="auto"/>
      </w:divBdr>
    </w:div>
    <w:div w:id="259022293">
      <w:bodyDiv w:val="1"/>
      <w:marLeft w:val="0"/>
      <w:marRight w:val="0"/>
      <w:marTop w:val="0"/>
      <w:marBottom w:val="0"/>
      <w:divBdr>
        <w:top w:val="none" w:sz="0" w:space="0" w:color="auto"/>
        <w:left w:val="none" w:sz="0" w:space="0" w:color="auto"/>
        <w:bottom w:val="none" w:sz="0" w:space="0" w:color="auto"/>
        <w:right w:val="none" w:sz="0" w:space="0" w:color="auto"/>
      </w:divBdr>
    </w:div>
    <w:div w:id="259416540">
      <w:bodyDiv w:val="1"/>
      <w:marLeft w:val="0"/>
      <w:marRight w:val="0"/>
      <w:marTop w:val="0"/>
      <w:marBottom w:val="0"/>
      <w:divBdr>
        <w:top w:val="none" w:sz="0" w:space="0" w:color="auto"/>
        <w:left w:val="none" w:sz="0" w:space="0" w:color="auto"/>
        <w:bottom w:val="none" w:sz="0" w:space="0" w:color="auto"/>
        <w:right w:val="none" w:sz="0" w:space="0" w:color="auto"/>
      </w:divBdr>
    </w:div>
    <w:div w:id="284506281">
      <w:bodyDiv w:val="1"/>
      <w:marLeft w:val="0"/>
      <w:marRight w:val="0"/>
      <w:marTop w:val="0"/>
      <w:marBottom w:val="0"/>
      <w:divBdr>
        <w:top w:val="none" w:sz="0" w:space="0" w:color="auto"/>
        <w:left w:val="none" w:sz="0" w:space="0" w:color="auto"/>
        <w:bottom w:val="none" w:sz="0" w:space="0" w:color="auto"/>
        <w:right w:val="none" w:sz="0" w:space="0" w:color="auto"/>
      </w:divBdr>
    </w:div>
    <w:div w:id="290945154">
      <w:bodyDiv w:val="1"/>
      <w:marLeft w:val="0"/>
      <w:marRight w:val="0"/>
      <w:marTop w:val="0"/>
      <w:marBottom w:val="0"/>
      <w:divBdr>
        <w:top w:val="none" w:sz="0" w:space="0" w:color="auto"/>
        <w:left w:val="none" w:sz="0" w:space="0" w:color="auto"/>
        <w:bottom w:val="none" w:sz="0" w:space="0" w:color="auto"/>
        <w:right w:val="none" w:sz="0" w:space="0" w:color="auto"/>
      </w:divBdr>
    </w:div>
    <w:div w:id="390274224">
      <w:bodyDiv w:val="1"/>
      <w:marLeft w:val="0"/>
      <w:marRight w:val="0"/>
      <w:marTop w:val="0"/>
      <w:marBottom w:val="0"/>
      <w:divBdr>
        <w:top w:val="none" w:sz="0" w:space="0" w:color="auto"/>
        <w:left w:val="none" w:sz="0" w:space="0" w:color="auto"/>
        <w:bottom w:val="none" w:sz="0" w:space="0" w:color="auto"/>
        <w:right w:val="none" w:sz="0" w:space="0" w:color="auto"/>
      </w:divBdr>
    </w:div>
    <w:div w:id="395320309">
      <w:bodyDiv w:val="1"/>
      <w:marLeft w:val="0"/>
      <w:marRight w:val="0"/>
      <w:marTop w:val="0"/>
      <w:marBottom w:val="0"/>
      <w:divBdr>
        <w:top w:val="none" w:sz="0" w:space="0" w:color="auto"/>
        <w:left w:val="none" w:sz="0" w:space="0" w:color="auto"/>
        <w:bottom w:val="none" w:sz="0" w:space="0" w:color="auto"/>
        <w:right w:val="none" w:sz="0" w:space="0" w:color="auto"/>
      </w:divBdr>
    </w:div>
    <w:div w:id="434640368">
      <w:bodyDiv w:val="1"/>
      <w:marLeft w:val="0"/>
      <w:marRight w:val="0"/>
      <w:marTop w:val="0"/>
      <w:marBottom w:val="0"/>
      <w:divBdr>
        <w:top w:val="none" w:sz="0" w:space="0" w:color="auto"/>
        <w:left w:val="none" w:sz="0" w:space="0" w:color="auto"/>
        <w:bottom w:val="none" w:sz="0" w:space="0" w:color="auto"/>
        <w:right w:val="none" w:sz="0" w:space="0" w:color="auto"/>
      </w:divBdr>
    </w:div>
    <w:div w:id="457458526">
      <w:bodyDiv w:val="1"/>
      <w:marLeft w:val="0"/>
      <w:marRight w:val="0"/>
      <w:marTop w:val="0"/>
      <w:marBottom w:val="0"/>
      <w:divBdr>
        <w:top w:val="none" w:sz="0" w:space="0" w:color="auto"/>
        <w:left w:val="none" w:sz="0" w:space="0" w:color="auto"/>
        <w:bottom w:val="none" w:sz="0" w:space="0" w:color="auto"/>
        <w:right w:val="none" w:sz="0" w:space="0" w:color="auto"/>
      </w:divBdr>
    </w:div>
    <w:div w:id="517893213">
      <w:bodyDiv w:val="1"/>
      <w:marLeft w:val="0"/>
      <w:marRight w:val="0"/>
      <w:marTop w:val="0"/>
      <w:marBottom w:val="0"/>
      <w:divBdr>
        <w:top w:val="none" w:sz="0" w:space="0" w:color="auto"/>
        <w:left w:val="none" w:sz="0" w:space="0" w:color="auto"/>
        <w:bottom w:val="none" w:sz="0" w:space="0" w:color="auto"/>
        <w:right w:val="none" w:sz="0" w:space="0" w:color="auto"/>
      </w:divBdr>
    </w:div>
    <w:div w:id="532497320">
      <w:bodyDiv w:val="1"/>
      <w:marLeft w:val="0"/>
      <w:marRight w:val="0"/>
      <w:marTop w:val="0"/>
      <w:marBottom w:val="0"/>
      <w:divBdr>
        <w:top w:val="none" w:sz="0" w:space="0" w:color="auto"/>
        <w:left w:val="none" w:sz="0" w:space="0" w:color="auto"/>
        <w:bottom w:val="none" w:sz="0" w:space="0" w:color="auto"/>
        <w:right w:val="none" w:sz="0" w:space="0" w:color="auto"/>
      </w:divBdr>
    </w:div>
    <w:div w:id="535048585">
      <w:bodyDiv w:val="1"/>
      <w:marLeft w:val="0"/>
      <w:marRight w:val="0"/>
      <w:marTop w:val="0"/>
      <w:marBottom w:val="0"/>
      <w:divBdr>
        <w:top w:val="none" w:sz="0" w:space="0" w:color="auto"/>
        <w:left w:val="none" w:sz="0" w:space="0" w:color="auto"/>
        <w:bottom w:val="none" w:sz="0" w:space="0" w:color="auto"/>
        <w:right w:val="none" w:sz="0" w:space="0" w:color="auto"/>
      </w:divBdr>
    </w:div>
    <w:div w:id="569509893">
      <w:bodyDiv w:val="1"/>
      <w:marLeft w:val="0"/>
      <w:marRight w:val="0"/>
      <w:marTop w:val="0"/>
      <w:marBottom w:val="0"/>
      <w:divBdr>
        <w:top w:val="none" w:sz="0" w:space="0" w:color="auto"/>
        <w:left w:val="none" w:sz="0" w:space="0" w:color="auto"/>
        <w:bottom w:val="none" w:sz="0" w:space="0" w:color="auto"/>
        <w:right w:val="none" w:sz="0" w:space="0" w:color="auto"/>
      </w:divBdr>
    </w:div>
    <w:div w:id="594678148">
      <w:bodyDiv w:val="1"/>
      <w:marLeft w:val="0"/>
      <w:marRight w:val="0"/>
      <w:marTop w:val="0"/>
      <w:marBottom w:val="0"/>
      <w:divBdr>
        <w:top w:val="none" w:sz="0" w:space="0" w:color="auto"/>
        <w:left w:val="none" w:sz="0" w:space="0" w:color="auto"/>
        <w:bottom w:val="none" w:sz="0" w:space="0" w:color="auto"/>
        <w:right w:val="none" w:sz="0" w:space="0" w:color="auto"/>
      </w:divBdr>
    </w:div>
    <w:div w:id="640575502">
      <w:bodyDiv w:val="1"/>
      <w:marLeft w:val="0"/>
      <w:marRight w:val="0"/>
      <w:marTop w:val="0"/>
      <w:marBottom w:val="0"/>
      <w:divBdr>
        <w:top w:val="none" w:sz="0" w:space="0" w:color="auto"/>
        <w:left w:val="none" w:sz="0" w:space="0" w:color="auto"/>
        <w:bottom w:val="none" w:sz="0" w:space="0" w:color="auto"/>
        <w:right w:val="none" w:sz="0" w:space="0" w:color="auto"/>
      </w:divBdr>
    </w:div>
    <w:div w:id="645860841">
      <w:bodyDiv w:val="1"/>
      <w:marLeft w:val="0"/>
      <w:marRight w:val="0"/>
      <w:marTop w:val="0"/>
      <w:marBottom w:val="0"/>
      <w:divBdr>
        <w:top w:val="none" w:sz="0" w:space="0" w:color="auto"/>
        <w:left w:val="none" w:sz="0" w:space="0" w:color="auto"/>
        <w:bottom w:val="none" w:sz="0" w:space="0" w:color="auto"/>
        <w:right w:val="none" w:sz="0" w:space="0" w:color="auto"/>
      </w:divBdr>
    </w:div>
    <w:div w:id="647131732">
      <w:bodyDiv w:val="1"/>
      <w:marLeft w:val="0"/>
      <w:marRight w:val="0"/>
      <w:marTop w:val="0"/>
      <w:marBottom w:val="0"/>
      <w:divBdr>
        <w:top w:val="none" w:sz="0" w:space="0" w:color="auto"/>
        <w:left w:val="none" w:sz="0" w:space="0" w:color="auto"/>
        <w:bottom w:val="none" w:sz="0" w:space="0" w:color="auto"/>
        <w:right w:val="none" w:sz="0" w:space="0" w:color="auto"/>
      </w:divBdr>
    </w:div>
    <w:div w:id="677193645">
      <w:bodyDiv w:val="1"/>
      <w:marLeft w:val="0"/>
      <w:marRight w:val="0"/>
      <w:marTop w:val="0"/>
      <w:marBottom w:val="0"/>
      <w:divBdr>
        <w:top w:val="none" w:sz="0" w:space="0" w:color="auto"/>
        <w:left w:val="none" w:sz="0" w:space="0" w:color="auto"/>
        <w:bottom w:val="none" w:sz="0" w:space="0" w:color="auto"/>
        <w:right w:val="none" w:sz="0" w:space="0" w:color="auto"/>
      </w:divBdr>
      <w:divsChild>
        <w:div w:id="42218499">
          <w:marLeft w:val="0"/>
          <w:marRight w:val="0"/>
          <w:marTop w:val="0"/>
          <w:marBottom w:val="0"/>
          <w:divBdr>
            <w:top w:val="none" w:sz="0" w:space="0" w:color="auto"/>
            <w:left w:val="none" w:sz="0" w:space="0" w:color="auto"/>
            <w:bottom w:val="none" w:sz="0" w:space="0" w:color="auto"/>
            <w:right w:val="none" w:sz="0" w:space="0" w:color="auto"/>
          </w:divBdr>
        </w:div>
        <w:div w:id="116293279">
          <w:marLeft w:val="0"/>
          <w:marRight w:val="0"/>
          <w:marTop w:val="0"/>
          <w:marBottom w:val="0"/>
          <w:divBdr>
            <w:top w:val="none" w:sz="0" w:space="0" w:color="auto"/>
            <w:left w:val="none" w:sz="0" w:space="0" w:color="auto"/>
            <w:bottom w:val="none" w:sz="0" w:space="0" w:color="auto"/>
            <w:right w:val="none" w:sz="0" w:space="0" w:color="auto"/>
          </w:divBdr>
        </w:div>
        <w:div w:id="126895669">
          <w:marLeft w:val="0"/>
          <w:marRight w:val="0"/>
          <w:marTop w:val="0"/>
          <w:marBottom w:val="0"/>
          <w:divBdr>
            <w:top w:val="none" w:sz="0" w:space="0" w:color="auto"/>
            <w:left w:val="none" w:sz="0" w:space="0" w:color="auto"/>
            <w:bottom w:val="none" w:sz="0" w:space="0" w:color="auto"/>
            <w:right w:val="none" w:sz="0" w:space="0" w:color="auto"/>
          </w:divBdr>
        </w:div>
        <w:div w:id="199127922">
          <w:marLeft w:val="0"/>
          <w:marRight w:val="0"/>
          <w:marTop w:val="0"/>
          <w:marBottom w:val="0"/>
          <w:divBdr>
            <w:top w:val="none" w:sz="0" w:space="0" w:color="auto"/>
            <w:left w:val="none" w:sz="0" w:space="0" w:color="auto"/>
            <w:bottom w:val="none" w:sz="0" w:space="0" w:color="auto"/>
            <w:right w:val="none" w:sz="0" w:space="0" w:color="auto"/>
          </w:divBdr>
        </w:div>
        <w:div w:id="248196019">
          <w:marLeft w:val="0"/>
          <w:marRight w:val="0"/>
          <w:marTop w:val="0"/>
          <w:marBottom w:val="0"/>
          <w:divBdr>
            <w:top w:val="none" w:sz="0" w:space="0" w:color="auto"/>
            <w:left w:val="none" w:sz="0" w:space="0" w:color="auto"/>
            <w:bottom w:val="none" w:sz="0" w:space="0" w:color="auto"/>
            <w:right w:val="none" w:sz="0" w:space="0" w:color="auto"/>
          </w:divBdr>
        </w:div>
        <w:div w:id="277181015">
          <w:marLeft w:val="0"/>
          <w:marRight w:val="0"/>
          <w:marTop w:val="0"/>
          <w:marBottom w:val="0"/>
          <w:divBdr>
            <w:top w:val="none" w:sz="0" w:space="0" w:color="auto"/>
            <w:left w:val="none" w:sz="0" w:space="0" w:color="auto"/>
            <w:bottom w:val="none" w:sz="0" w:space="0" w:color="auto"/>
            <w:right w:val="none" w:sz="0" w:space="0" w:color="auto"/>
          </w:divBdr>
        </w:div>
        <w:div w:id="565536698">
          <w:marLeft w:val="0"/>
          <w:marRight w:val="0"/>
          <w:marTop w:val="0"/>
          <w:marBottom w:val="0"/>
          <w:divBdr>
            <w:top w:val="none" w:sz="0" w:space="0" w:color="auto"/>
            <w:left w:val="none" w:sz="0" w:space="0" w:color="auto"/>
            <w:bottom w:val="none" w:sz="0" w:space="0" w:color="auto"/>
            <w:right w:val="none" w:sz="0" w:space="0" w:color="auto"/>
          </w:divBdr>
        </w:div>
        <w:div w:id="650643190">
          <w:marLeft w:val="0"/>
          <w:marRight w:val="0"/>
          <w:marTop w:val="0"/>
          <w:marBottom w:val="0"/>
          <w:divBdr>
            <w:top w:val="none" w:sz="0" w:space="0" w:color="auto"/>
            <w:left w:val="none" w:sz="0" w:space="0" w:color="auto"/>
            <w:bottom w:val="none" w:sz="0" w:space="0" w:color="auto"/>
            <w:right w:val="none" w:sz="0" w:space="0" w:color="auto"/>
          </w:divBdr>
        </w:div>
        <w:div w:id="690227960">
          <w:marLeft w:val="0"/>
          <w:marRight w:val="0"/>
          <w:marTop w:val="0"/>
          <w:marBottom w:val="0"/>
          <w:divBdr>
            <w:top w:val="none" w:sz="0" w:space="0" w:color="auto"/>
            <w:left w:val="none" w:sz="0" w:space="0" w:color="auto"/>
            <w:bottom w:val="none" w:sz="0" w:space="0" w:color="auto"/>
            <w:right w:val="none" w:sz="0" w:space="0" w:color="auto"/>
          </w:divBdr>
        </w:div>
        <w:div w:id="781612594">
          <w:marLeft w:val="0"/>
          <w:marRight w:val="0"/>
          <w:marTop w:val="0"/>
          <w:marBottom w:val="0"/>
          <w:divBdr>
            <w:top w:val="none" w:sz="0" w:space="0" w:color="auto"/>
            <w:left w:val="none" w:sz="0" w:space="0" w:color="auto"/>
            <w:bottom w:val="none" w:sz="0" w:space="0" w:color="auto"/>
            <w:right w:val="none" w:sz="0" w:space="0" w:color="auto"/>
          </w:divBdr>
        </w:div>
        <w:div w:id="822817398">
          <w:marLeft w:val="0"/>
          <w:marRight w:val="0"/>
          <w:marTop w:val="0"/>
          <w:marBottom w:val="0"/>
          <w:divBdr>
            <w:top w:val="none" w:sz="0" w:space="0" w:color="auto"/>
            <w:left w:val="none" w:sz="0" w:space="0" w:color="auto"/>
            <w:bottom w:val="none" w:sz="0" w:space="0" w:color="auto"/>
            <w:right w:val="none" w:sz="0" w:space="0" w:color="auto"/>
          </w:divBdr>
        </w:div>
        <w:div w:id="867183590">
          <w:marLeft w:val="0"/>
          <w:marRight w:val="0"/>
          <w:marTop w:val="0"/>
          <w:marBottom w:val="0"/>
          <w:divBdr>
            <w:top w:val="none" w:sz="0" w:space="0" w:color="auto"/>
            <w:left w:val="none" w:sz="0" w:space="0" w:color="auto"/>
            <w:bottom w:val="none" w:sz="0" w:space="0" w:color="auto"/>
            <w:right w:val="none" w:sz="0" w:space="0" w:color="auto"/>
          </w:divBdr>
        </w:div>
        <w:div w:id="1035471596">
          <w:marLeft w:val="0"/>
          <w:marRight w:val="0"/>
          <w:marTop w:val="0"/>
          <w:marBottom w:val="0"/>
          <w:divBdr>
            <w:top w:val="none" w:sz="0" w:space="0" w:color="auto"/>
            <w:left w:val="none" w:sz="0" w:space="0" w:color="auto"/>
            <w:bottom w:val="none" w:sz="0" w:space="0" w:color="auto"/>
            <w:right w:val="none" w:sz="0" w:space="0" w:color="auto"/>
          </w:divBdr>
        </w:div>
        <w:div w:id="1366566738">
          <w:marLeft w:val="0"/>
          <w:marRight w:val="0"/>
          <w:marTop w:val="0"/>
          <w:marBottom w:val="0"/>
          <w:divBdr>
            <w:top w:val="none" w:sz="0" w:space="0" w:color="auto"/>
            <w:left w:val="none" w:sz="0" w:space="0" w:color="auto"/>
            <w:bottom w:val="none" w:sz="0" w:space="0" w:color="auto"/>
            <w:right w:val="none" w:sz="0" w:space="0" w:color="auto"/>
          </w:divBdr>
        </w:div>
        <w:div w:id="1530992385">
          <w:marLeft w:val="0"/>
          <w:marRight w:val="0"/>
          <w:marTop w:val="0"/>
          <w:marBottom w:val="0"/>
          <w:divBdr>
            <w:top w:val="none" w:sz="0" w:space="0" w:color="auto"/>
            <w:left w:val="none" w:sz="0" w:space="0" w:color="auto"/>
            <w:bottom w:val="none" w:sz="0" w:space="0" w:color="auto"/>
            <w:right w:val="none" w:sz="0" w:space="0" w:color="auto"/>
          </w:divBdr>
        </w:div>
        <w:div w:id="1608846406">
          <w:marLeft w:val="0"/>
          <w:marRight w:val="0"/>
          <w:marTop w:val="0"/>
          <w:marBottom w:val="0"/>
          <w:divBdr>
            <w:top w:val="none" w:sz="0" w:space="0" w:color="auto"/>
            <w:left w:val="none" w:sz="0" w:space="0" w:color="auto"/>
            <w:bottom w:val="none" w:sz="0" w:space="0" w:color="auto"/>
            <w:right w:val="none" w:sz="0" w:space="0" w:color="auto"/>
          </w:divBdr>
        </w:div>
        <w:div w:id="1706981141">
          <w:marLeft w:val="0"/>
          <w:marRight w:val="0"/>
          <w:marTop w:val="0"/>
          <w:marBottom w:val="0"/>
          <w:divBdr>
            <w:top w:val="none" w:sz="0" w:space="0" w:color="auto"/>
            <w:left w:val="none" w:sz="0" w:space="0" w:color="auto"/>
            <w:bottom w:val="none" w:sz="0" w:space="0" w:color="auto"/>
            <w:right w:val="none" w:sz="0" w:space="0" w:color="auto"/>
          </w:divBdr>
        </w:div>
        <w:div w:id="1975060766">
          <w:marLeft w:val="0"/>
          <w:marRight w:val="0"/>
          <w:marTop w:val="0"/>
          <w:marBottom w:val="0"/>
          <w:divBdr>
            <w:top w:val="none" w:sz="0" w:space="0" w:color="auto"/>
            <w:left w:val="none" w:sz="0" w:space="0" w:color="auto"/>
            <w:bottom w:val="none" w:sz="0" w:space="0" w:color="auto"/>
            <w:right w:val="none" w:sz="0" w:space="0" w:color="auto"/>
          </w:divBdr>
        </w:div>
        <w:div w:id="1983537179">
          <w:marLeft w:val="0"/>
          <w:marRight w:val="0"/>
          <w:marTop w:val="0"/>
          <w:marBottom w:val="0"/>
          <w:divBdr>
            <w:top w:val="none" w:sz="0" w:space="0" w:color="auto"/>
            <w:left w:val="none" w:sz="0" w:space="0" w:color="auto"/>
            <w:bottom w:val="none" w:sz="0" w:space="0" w:color="auto"/>
            <w:right w:val="none" w:sz="0" w:space="0" w:color="auto"/>
          </w:divBdr>
        </w:div>
        <w:div w:id="2030640187">
          <w:marLeft w:val="0"/>
          <w:marRight w:val="0"/>
          <w:marTop w:val="0"/>
          <w:marBottom w:val="0"/>
          <w:divBdr>
            <w:top w:val="none" w:sz="0" w:space="0" w:color="auto"/>
            <w:left w:val="none" w:sz="0" w:space="0" w:color="auto"/>
            <w:bottom w:val="none" w:sz="0" w:space="0" w:color="auto"/>
            <w:right w:val="none" w:sz="0" w:space="0" w:color="auto"/>
          </w:divBdr>
        </w:div>
        <w:div w:id="2031637250">
          <w:marLeft w:val="0"/>
          <w:marRight w:val="0"/>
          <w:marTop w:val="0"/>
          <w:marBottom w:val="0"/>
          <w:divBdr>
            <w:top w:val="none" w:sz="0" w:space="0" w:color="auto"/>
            <w:left w:val="none" w:sz="0" w:space="0" w:color="auto"/>
            <w:bottom w:val="none" w:sz="0" w:space="0" w:color="auto"/>
            <w:right w:val="none" w:sz="0" w:space="0" w:color="auto"/>
          </w:divBdr>
        </w:div>
        <w:div w:id="2046323452">
          <w:marLeft w:val="0"/>
          <w:marRight w:val="0"/>
          <w:marTop w:val="0"/>
          <w:marBottom w:val="0"/>
          <w:divBdr>
            <w:top w:val="none" w:sz="0" w:space="0" w:color="auto"/>
            <w:left w:val="none" w:sz="0" w:space="0" w:color="auto"/>
            <w:bottom w:val="none" w:sz="0" w:space="0" w:color="auto"/>
            <w:right w:val="none" w:sz="0" w:space="0" w:color="auto"/>
          </w:divBdr>
        </w:div>
        <w:div w:id="2091465163">
          <w:marLeft w:val="0"/>
          <w:marRight w:val="0"/>
          <w:marTop w:val="0"/>
          <w:marBottom w:val="0"/>
          <w:divBdr>
            <w:top w:val="none" w:sz="0" w:space="0" w:color="auto"/>
            <w:left w:val="none" w:sz="0" w:space="0" w:color="auto"/>
            <w:bottom w:val="none" w:sz="0" w:space="0" w:color="auto"/>
            <w:right w:val="none" w:sz="0" w:space="0" w:color="auto"/>
          </w:divBdr>
        </w:div>
        <w:div w:id="2117828551">
          <w:marLeft w:val="0"/>
          <w:marRight w:val="0"/>
          <w:marTop w:val="0"/>
          <w:marBottom w:val="0"/>
          <w:divBdr>
            <w:top w:val="none" w:sz="0" w:space="0" w:color="auto"/>
            <w:left w:val="none" w:sz="0" w:space="0" w:color="auto"/>
            <w:bottom w:val="none" w:sz="0" w:space="0" w:color="auto"/>
            <w:right w:val="none" w:sz="0" w:space="0" w:color="auto"/>
          </w:divBdr>
        </w:div>
      </w:divsChild>
    </w:div>
    <w:div w:id="690061187">
      <w:bodyDiv w:val="1"/>
      <w:marLeft w:val="0"/>
      <w:marRight w:val="0"/>
      <w:marTop w:val="0"/>
      <w:marBottom w:val="0"/>
      <w:divBdr>
        <w:top w:val="none" w:sz="0" w:space="0" w:color="auto"/>
        <w:left w:val="none" w:sz="0" w:space="0" w:color="auto"/>
        <w:bottom w:val="none" w:sz="0" w:space="0" w:color="auto"/>
        <w:right w:val="none" w:sz="0" w:space="0" w:color="auto"/>
      </w:divBdr>
    </w:div>
    <w:div w:id="711928615">
      <w:bodyDiv w:val="1"/>
      <w:marLeft w:val="0"/>
      <w:marRight w:val="0"/>
      <w:marTop w:val="0"/>
      <w:marBottom w:val="0"/>
      <w:divBdr>
        <w:top w:val="none" w:sz="0" w:space="0" w:color="auto"/>
        <w:left w:val="none" w:sz="0" w:space="0" w:color="auto"/>
        <w:bottom w:val="none" w:sz="0" w:space="0" w:color="auto"/>
        <w:right w:val="none" w:sz="0" w:space="0" w:color="auto"/>
      </w:divBdr>
    </w:div>
    <w:div w:id="734553421">
      <w:bodyDiv w:val="1"/>
      <w:marLeft w:val="0"/>
      <w:marRight w:val="0"/>
      <w:marTop w:val="0"/>
      <w:marBottom w:val="0"/>
      <w:divBdr>
        <w:top w:val="none" w:sz="0" w:space="0" w:color="auto"/>
        <w:left w:val="none" w:sz="0" w:space="0" w:color="auto"/>
        <w:bottom w:val="none" w:sz="0" w:space="0" w:color="auto"/>
        <w:right w:val="none" w:sz="0" w:space="0" w:color="auto"/>
      </w:divBdr>
    </w:div>
    <w:div w:id="736633830">
      <w:bodyDiv w:val="1"/>
      <w:marLeft w:val="0"/>
      <w:marRight w:val="0"/>
      <w:marTop w:val="0"/>
      <w:marBottom w:val="0"/>
      <w:divBdr>
        <w:top w:val="none" w:sz="0" w:space="0" w:color="auto"/>
        <w:left w:val="none" w:sz="0" w:space="0" w:color="auto"/>
        <w:bottom w:val="none" w:sz="0" w:space="0" w:color="auto"/>
        <w:right w:val="none" w:sz="0" w:space="0" w:color="auto"/>
      </w:divBdr>
    </w:div>
    <w:div w:id="780304177">
      <w:bodyDiv w:val="1"/>
      <w:marLeft w:val="0"/>
      <w:marRight w:val="0"/>
      <w:marTop w:val="0"/>
      <w:marBottom w:val="0"/>
      <w:divBdr>
        <w:top w:val="none" w:sz="0" w:space="0" w:color="auto"/>
        <w:left w:val="none" w:sz="0" w:space="0" w:color="auto"/>
        <w:bottom w:val="none" w:sz="0" w:space="0" w:color="auto"/>
        <w:right w:val="none" w:sz="0" w:space="0" w:color="auto"/>
      </w:divBdr>
    </w:div>
    <w:div w:id="827134577">
      <w:bodyDiv w:val="1"/>
      <w:marLeft w:val="0"/>
      <w:marRight w:val="0"/>
      <w:marTop w:val="0"/>
      <w:marBottom w:val="0"/>
      <w:divBdr>
        <w:top w:val="none" w:sz="0" w:space="0" w:color="auto"/>
        <w:left w:val="none" w:sz="0" w:space="0" w:color="auto"/>
        <w:bottom w:val="none" w:sz="0" w:space="0" w:color="auto"/>
        <w:right w:val="none" w:sz="0" w:space="0" w:color="auto"/>
      </w:divBdr>
      <w:divsChild>
        <w:div w:id="314842303">
          <w:marLeft w:val="0"/>
          <w:marRight w:val="0"/>
          <w:marTop w:val="0"/>
          <w:marBottom w:val="0"/>
          <w:divBdr>
            <w:top w:val="none" w:sz="0" w:space="0" w:color="auto"/>
            <w:left w:val="none" w:sz="0" w:space="0" w:color="auto"/>
            <w:bottom w:val="none" w:sz="0" w:space="0" w:color="auto"/>
            <w:right w:val="none" w:sz="0" w:space="0" w:color="auto"/>
          </w:divBdr>
        </w:div>
        <w:div w:id="316107127">
          <w:marLeft w:val="0"/>
          <w:marRight w:val="0"/>
          <w:marTop w:val="0"/>
          <w:marBottom w:val="0"/>
          <w:divBdr>
            <w:top w:val="none" w:sz="0" w:space="0" w:color="auto"/>
            <w:left w:val="none" w:sz="0" w:space="0" w:color="auto"/>
            <w:bottom w:val="none" w:sz="0" w:space="0" w:color="auto"/>
            <w:right w:val="none" w:sz="0" w:space="0" w:color="auto"/>
          </w:divBdr>
        </w:div>
        <w:div w:id="390469898">
          <w:marLeft w:val="0"/>
          <w:marRight w:val="0"/>
          <w:marTop w:val="0"/>
          <w:marBottom w:val="0"/>
          <w:divBdr>
            <w:top w:val="none" w:sz="0" w:space="0" w:color="auto"/>
            <w:left w:val="none" w:sz="0" w:space="0" w:color="auto"/>
            <w:bottom w:val="none" w:sz="0" w:space="0" w:color="auto"/>
            <w:right w:val="none" w:sz="0" w:space="0" w:color="auto"/>
          </w:divBdr>
        </w:div>
        <w:div w:id="471825847">
          <w:marLeft w:val="0"/>
          <w:marRight w:val="0"/>
          <w:marTop w:val="0"/>
          <w:marBottom w:val="0"/>
          <w:divBdr>
            <w:top w:val="none" w:sz="0" w:space="0" w:color="auto"/>
            <w:left w:val="none" w:sz="0" w:space="0" w:color="auto"/>
            <w:bottom w:val="none" w:sz="0" w:space="0" w:color="auto"/>
            <w:right w:val="none" w:sz="0" w:space="0" w:color="auto"/>
          </w:divBdr>
        </w:div>
        <w:div w:id="472261071">
          <w:marLeft w:val="0"/>
          <w:marRight w:val="0"/>
          <w:marTop w:val="0"/>
          <w:marBottom w:val="0"/>
          <w:divBdr>
            <w:top w:val="none" w:sz="0" w:space="0" w:color="auto"/>
            <w:left w:val="none" w:sz="0" w:space="0" w:color="auto"/>
            <w:bottom w:val="none" w:sz="0" w:space="0" w:color="auto"/>
            <w:right w:val="none" w:sz="0" w:space="0" w:color="auto"/>
          </w:divBdr>
        </w:div>
        <w:div w:id="1366714616">
          <w:marLeft w:val="0"/>
          <w:marRight w:val="0"/>
          <w:marTop w:val="0"/>
          <w:marBottom w:val="0"/>
          <w:divBdr>
            <w:top w:val="none" w:sz="0" w:space="0" w:color="auto"/>
            <w:left w:val="none" w:sz="0" w:space="0" w:color="auto"/>
            <w:bottom w:val="none" w:sz="0" w:space="0" w:color="auto"/>
            <w:right w:val="none" w:sz="0" w:space="0" w:color="auto"/>
          </w:divBdr>
        </w:div>
        <w:div w:id="1646664014">
          <w:marLeft w:val="0"/>
          <w:marRight w:val="0"/>
          <w:marTop w:val="0"/>
          <w:marBottom w:val="0"/>
          <w:divBdr>
            <w:top w:val="none" w:sz="0" w:space="0" w:color="auto"/>
            <w:left w:val="none" w:sz="0" w:space="0" w:color="auto"/>
            <w:bottom w:val="none" w:sz="0" w:space="0" w:color="auto"/>
            <w:right w:val="none" w:sz="0" w:space="0" w:color="auto"/>
          </w:divBdr>
        </w:div>
      </w:divsChild>
    </w:div>
    <w:div w:id="832338486">
      <w:bodyDiv w:val="1"/>
      <w:marLeft w:val="0"/>
      <w:marRight w:val="0"/>
      <w:marTop w:val="0"/>
      <w:marBottom w:val="0"/>
      <w:divBdr>
        <w:top w:val="none" w:sz="0" w:space="0" w:color="auto"/>
        <w:left w:val="none" w:sz="0" w:space="0" w:color="auto"/>
        <w:bottom w:val="none" w:sz="0" w:space="0" w:color="auto"/>
        <w:right w:val="none" w:sz="0" w:space="0" w:color="auto"/>
      </w:divBdr>
    </w:div>
    <w:div w:id="853691169">
      <w:bodyDiv w:val="1"/>
      <w:marLeft w:val="0"/>
      <w:marRight w:val="0"/>
      <w:marTop w:val="0"/>
      <w:marBottom w:val="0"/>
      <w:divBdr>
        <w:top w:val="none" w:sz="0" w:space="0" w:color="auto"/>
        <w:left w:val="none" w:sz="0" w:space="0" w:color="auto"/>
        <w:bottom w:val="none" w:sz="0" w:space="0" w:color="auto"/>
        <w:right w:val="none" w:sz="0" w:space="0" w:color="auto"/>
      </w:divBdr>
    </w:div>
    <w:div w:id="911424998">
      <w:bodyDiv w:val="1"/>
      <w:marLeft w:val="0"/>
      <w:marRight w:val="0"/>
      <w:marTop w:val="0"/>
      <w:marBottom w:val="0"/>
      <w:divBdr>
        <w:top w:val="none" w:sz="0" w:space="0" w:color="auto"/>
        <w:left w:val="none" w:sz="0" w:space="0" w:color="auto"/>
        <w:bottom w:val="none" w:sz="0" w:space="0" w:color="auto"/>
        <w:right w:val="none" w:sz="0" w:space="0" w:color="auto"/>
      </w:divBdr>
    </w:div>
    <w:div w:id="917982916">
      <w:bodyDiv w:val="1"/>
      <w:marLeft w:val="0"/>
      <w:marRight w:val="0"/>
      <w:marTop w:val="0"/>
      <w:marBottom w:val="0"/>
      <w:divBdr>
        <w:top w:val="none" w:sz="0" w:space="0" w:color="auto"/>
        <w:left w:val="none" w:sz="0" w:space="0" w:color="auto"/>
        <w:bottom w:val="none" w:sz="0" w:space="0" w:color="auto"/>
        <w:right w:val="none" w:sz="0" w:space="0" w:color="auto"/>
      </w:divBdr>
    </w:div>
    <w:div w:id="951549425">
      <w:bodyDiv w:val="1"/>
      <w:marLeft w:val="0"/>
      <w:marRight w:val="0"/>
      <w:marTop w:val="0"/>
      <w:marBottom w:val="0"/>
      <w:divBdr>
        <w:top w:val="none" w:sz="0" w:space="0" w:color="auto"/>
        <w:left w:val="none" w:sz="0" w:space="0" w:color="auto"/>
        <w:bottom w:val="none" w:sz="0" w:space="0" w:color="auto"/>
        <w:right w:val="none" w:sz="0" w:space="0" w:color="auto"/>
      </w:divBdr>
    </w:div>
    <w:div w:id="1001930601">
      <w:bodyDiv w:val="1"/>
      <w:marLeft w:val="0"/>
      <w:marRight w:val="0"/>
      <w:marTop w:val="0"/>
      <w:marBottom w:val="0"/>
      <w:divBdr>
        <w:top w:val="none" w:sz="0" w:space="0" w:color="auto"/>
        <w:left w:val="none" w:sz="0" w:space="0" w:color="auto"/>
        <w:bottom w:val="none" w:sz="0" w:space="0" w:color="auto"/>
        <w:right w:val="none" w:sz="0" w:space="0" w:color="auto"/>
      </w:divBdr>
    </w:div>
    <w:div w:id="1025323394">
      <w:bodyDiv w:val="1"/>
      <w:marLeft w:val="0"/>
      <w:marRight w:val="0"/>
      <w:marTop w:val="0"/>
      <w:marBottom w:val="0"/>
      <w:divBdr>
        <w:top w:val="none" w:sz="0" w:space="0" w:color="auto"/>
        <w:left w:val="none" w:sz="0" w:space="0" w:color="auto"/>
        <w:bottom w:val="none" w:sz="0" w:space="0" w:color="auto"/>
        <w:right w:val="none" w:sz="0" w:space="0" w:color="auto"/>
      </w:divBdr>
    </w:div>
    <w:div w:id="1065449075">
      <w:bodyDiv w:val="1"/>
      <w:marLeft w:val="0"/>
      <w:marRight w:val="0"/>
      <w:marTop w:val="0"/>
      <w:marBottom w:val="0"/>
      <w:divBdr>
        <w:top w:val="none" w:sz="0" w:space="0" w:color="auto"/>
        <w:left w:val="none" w:sz="0" w:space="0" w:color="auto"/>
        <w:bottom w:val="none" w:sz="0" w:space="0" w:color="auto"/>
        <w:right w:val="none" w:sz="0" w:space="0" w:color="auto"/>
      </w:divBdr>
    </w:div>
    <w:div w:id="1115759252">
      <w:bodyDiv w:val="1"/>
      <w:marLeft w:val="0"/>
      <w:marRight w:val="0"/>
      <w:marTop w:val="0"/>
      <w:marBottom w:val="0"/>
      <w:divBdr>
        <w:top w:val="none" w:sz="0" w:space="0" w:color="auto"/>
        <w:left w:val="none" w:sz="0" w:space="0" w:color="auto"/>
        <w:bottom w:val="none" w:sz="0" w:space="0" w:color="auto"/>
        <w:right w:val="none" w:sz="0" w:space="0" w:color="auto"/>
      </w:divBdr>
    </w:div>
    <w:div w:id="1116026389">
      <w:bodyDiv w:val="1"/>
      <w:marLeft w:val="0"/>
      <w:marRight w:val="0"/>
      <w:marTop w:val="0"/>
      <w:marBottom w:val="0"/>
      <w:divBdr>
        <w:top w:val="none" w:sz="0" w:space="0" w:color="auto"/>
        <w:left w:val="none" w:sz="0" w:space="0" w:color="auto"/>
        <w:bottom w:val="none" w:sz="0" w:space="0" w:color="auto"/>
        <w:right w:val="none" w:sz="0" w:space="0" w:color="auto"/>
      </w:divBdr>
    </w:div>
    <w:div w:id="1172644627">
      <w:bodyDiv w:val="1"/>
      <w:marLeft w:val="0"/>
      <w:marRight w:val="0"/>
      <w:marTop w:val="0"/>
      <w:marBottom w:val="0"/>
      <w:divBdr>
        <w:top w:val="none" w:sz="0" w:space="0" w:color="auto"/>
        <w:left w:val="none" w:sz="0" w:space="0" w:color="auto"/>
        <w:bottom w:val="none" w:sz="0" w:space="0" w:color="auto"/>
        <w:right w:val="none" w:sz="0" w:space="0" w:color="auto"/>
      </w:divBdr>
    </w:div>
    <w:div w:id="1173182897">
      <w:bodyDiv w:val="1"/>
      <w:marLeft w:val="0"/>
      <w:marRight w:val="0"/>
      <w:marTop w:val="0"/>
      <w:marBottom w:val="0"/>
      <w:divBdr>
        <w:top w:val="none" w:sz="0" w:space="0" w:color="auto"/>
        <w:left w:val="none" w:sz="0" w:space="0" w:color="auto"/>
        <w:bottom w:val="none" w:sz="0" w:space="0" w:color="auto"/>
        <w:right w:val="none" w:sz="0" w:space="0" w:color="auto"/>
      </w:divBdr>
      <w:divsChild>
        <w:div w:id="225991304">
          <w:marLeft w:val="0"/>
          <w:marRight w:val="0"/>
          <w:marTop w:val="0"/>
          <w:marBottom w:val="0"/>
          <w:divBdr>
            <w:top w:val="single" w:sz="2" w:space="0" w:color="auto"/>
            <w:left w:val="single" w:sz="2" w:space="0" w:color="auto"/>
            <w:bottom w:val="single" w:sz="6" w:space="0" w:color="auto"/>
            <w:right w:val="single" w:sz="2" w:space="0" w:color="auto"/>
          </w:divBdr>
          <w:divsChild>
            <w:div w:id="20573132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24480691">
                  <w:marLeft w:val="0"/>
                  <w:marRight w:val="0"/>
                  <w:marTop w:val="0"/>
                  <w:marBottom w:val="0"/>
                  <w:divBdr>
                    <w:top w:val="single" w:sz="2" w:space="0" w:color="D9D9E3"/>
                    <w:left w:val="single" w:sz="2" w:space="0" w:color="D9D9E3"/>
                    <w:bottom w:val="single" w:sz="2" w:space="0" w:color="D9D9E3"/>
                    <w:right w:val="single" w:sz="2" w:space="0" w:color="D9D9E3"/>
                  </w:divBdr>
                  <w:divsChild>
                    <w:div w:id="1971477837">
                      <w:marLeft w:val="0"/>
                      <w:marRight w:val="0"/>
                      <w:marTop w:val="0"/>
                      <w:marBottom w:val="0"/>
                      <w:divBdr>
                        <w:top w:val="single" w:sz="2" w:space="0" w:color="D9D9E3"/>
                        <w:left w:val="single" w:sz="2" w:space="0" w:color="D9D9E3"/>
                        <w:bottom w:val="single" w:sz="2" w:space="0" w:color="D9D9E3"/>
                        <w:right w:val="single" w:sz="2" w:space="0" w:color="D9D9E3"/>
                      </w:divBdr>
                      <w:divsChild>
                        <w:div w:id="1991716063">
                          <w:marLeft w:val="0"/>
                          <w:marRight w:val="0"/>
                          <w:marTop w:val="0"/>
                          <w:marBottom w:val="0"/>
                          <w:divBdr>
                            <w:top w:val="single" w:sz="2" w:space="0" w:color="D9D9E3"/>
                            <w:left w:val="single" w:sz="2" w:space="0" w:color="D9D9E3"/>
                            <w:bottom w:val="single" w:sz="2" w:space="0" w:color="D9D9E3"/>
                            <w:right w:val="single" w:sz="2" w:space="0" w:color="D9D9E3"/>
                          </w:divBdr>
                          <w:divsChild>
                            <w:div w:id="7880127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82165014">
      <w:bodyDiv w:val="1"/>
      <w:marLeft w:val="0"/>
      <w:marRight w:val="0"/>
      <w:marTop w:val="0"/>
      <w:marBottom w:val="0"/>
      <w:divBdr>
        <w:top w:val="none" w:sz="0" w:space="0" w:color="auto"/>
        <w:left w:val="none" w:sz="0" w:space="0" w:color="auto"/>
        <w:bottom w:val="none" w:sz="0" w:space="0" w:color="auto"/>
        <w:right w:val="none" w:sz="0" w:space="0" w:color="auto"/>
      </w:divBdr>
    </w:div>
    <w:div w:id="1183782408">
      <w:bodyDiv w:val="1"/>
      <w:marLeft w:val="0"/>
      <w:marRight w:val="0"/>
      <w:marTop w:val="0"/>
      <w:marBottom w:val="0"/>
      <w:divBdr>
        <w:top w:val="none" w:sz="0" w:space="0" w:color="auto"/>
        <w:left w:val="none" w:sz="0" w:space="0" w:color="auto"/>
        <w:bottom w:val="none" w:sz="0" w:space="0" w:color="auto"/>
        <w:right w:val="none" w:sz="0" w:space="0" w:color="auto"/>
      </w:divBdr>
    </w:div>
    <w:div w:id="1246647234">
      <w:bodyDiv w:val="1"/>
      <w:marLeft w:val="0"/>
      <w:marRight w:val="0"/>
      <w:marTop w:val="0"/>
      <w:marBottom w:val="0"/>
      <w:divBdr>
        <w:top w:val="none" w:sz="0" w:space="0" w:color="auto"/>
        <w:left w:val="none" w:sz="0" w:space="0" w:color="auto"/>
        <w:bottom w:val="none" w:sz="0" w:space="0" w:color="auto"/>
        <w:right w:val="none" w:sz="0" w:space="0" w:color="auto"/>
      </w:divBdr>
    </w:div>
    <w:div w:id="1280338639">
      <w:bodyDiv w:val="1"/>
      <w:marLeft w:val="0"/>
      <w:marRight w:val="0"/>
      <w:marTop w:val="0"/>
      <w:marBottom w:val="0"/>
      <w:divBdr>
        <w:top w:val="none" w:sz="0" w:space="0" w:color="auto"/>
        <w:left w:val="none" w:sz="0" w:space="0" w:color="auto"/>
        <w:bottom w:val="none" w:sz="0" w:space="0" w:color="auto"/>
        <w:right w:val="none" w:sz="0" w:space="0" w:color="auto"/>
      </w:divBdr>
    </w:div>
    <w:div w:id="1303384455">
      <w:bodyDiv w:val="1"/>
      <w:marLeft w:val="0"/>
      <w:marRight w:val="0"/>
      <w:marTop w:val="0"/>
      <w:marBottom w:val="0"/>
      <w:divBdr>
        <w:top w:val="none" w:sz="0" w:space="0" w:color="auto"/>
        <w:left w:val="none" w:sz="0" w:space="0" w:color="auto"/>
        <w:bottom w:val="none" w:sz="0" w:space="0" w:color="auto"/>
        <w:right w:val="none" w:sz="0" w:space="0" w:color="auto"/>
      </w:divBdr>
    </w:div>
    <w:div w:id="1305544418">
      <w:bodyDiv w:val="1"/>
      <w:marLeft w:val="0"/>
      <w:marRight w:val="0"/>
      <w:marTop w:val="0"/>
      <w:marBottom w:val="0"/>
      <w:divBdr>
        <w:top w:val="none" w:sz="0" w:space="0" w:color="auto"/>
        <w:left w:val="none" w:sz="0" w:space="0" w:color="auto"/>
        <w:bottom w:val="none" w:sz="0" w:space="0" w:color="auto"/>
        <w:right w:val="none" w:sz="0" w:space="0" w:color="auto"/>
      </w:divBdr>
    </w:div>
    <w:div w:id="1350719361">
      <w:bodyDiv w:val="1"/>
      <w:marLeft w:val="0"/>
      <w:marRight w:val="0"/>
      <w:marTop w:val="0"/>
      <w:marBottom w:val="0"/>
      <w:divBdr>
        <w:top w:val="none" w:sz="0" w:space="0" w:color="auto"/>
        <w:left w:val="none" w:sz="0" w:space="0" w:color="auto"/>
        <w:bottom w:val="none" w:sz="0" w:space="0" w:color="auto"/>
        <w:right w:val="none" w:sz="0" w:space="0" w:color="auto"/>
      </w:divBdr>
    </w:div>
    <w:div w:id="1368410249">
      <w:bodyDiv w:val="1"/>
      <w:marLeft w:val="0"/>
      <w:marRight w:val="0"/>
      <w:marTop w:val="0"/>
      <w:marBottom w:val="0"/>
      <w:divBdr>
        <w:top w:val="none" w:sz="0" w:space="0" w:color="auto"/>
        <w:left w:val="none" w:sz="0" w:space="0" w:color="auto"/>
        <w:bottom w:val="none" w:sz="0" w:space="0" w:color="auto"/>
        <w:right w:val="none" w:sz="0" w:space="0" w:color="auto"/>
      </w:divBdr>
    </w:div>
    <w:div w:id="1401901071">
      <w:bodyDiv w:val="1"/>
      <w:marLeft w:val="0"/>
      <w:marRight w:val="0"/>
      <w:marTop w:val="0"/>
      <w:marBottom w:val="0"/>
      <w:divBdr>
        <w:top w:val="none" w:sz="0" w:space="0" w:color="auto"/>
        <w:left w:val="none" w:sz="0" w:space="0" w:color="auto"/>
        <w:bottom w:val="none" w:sz="0" w:space="0" w:color="auto"/>
        <w:right w:val="none" w:sz="0" w:space="0" w:color="auto"/>
      </w:divBdr>
    </w:div>
    <w:div w:id="1421608460">
      <w:bodyDiv w:val="1"/>
      <w:marLeft w:val="0"/>
      <w:marRight w:val="0"/>
      <w:marTop w:val="0"/>
      <w:marBottom w:val="0"/>
      <w:divBdr>
        <w:top w:val="none" w:sz="0" w:space="0" w:color="auto"/>
        <w:left w:val="none" w:sz="0" w:space="0" w:color="auto"/>
        <w:bottom w:val="none" w:sz="0" w:space="0" w:color="auto"/>
        <w:right w:val="none" w:sz="0" w:space="0" w:color="auto"/>
      </w:divBdr>
    </w:div>
    <w:div w:id="1424258023">
      <w:bodyDiv w:val="1"/>
      <w:marLeft w:val="0"/>
      <w:marRight w:val="0"/>
      <w:marTop w:val="0"/>
      <w:marBottom w:val="0"/>
      <w:divBdr>
        <w:top w:val="none" w:sz="0" w:space="0" w:color="auto"/>
        <w:left w:val="none" w:sz="0" w:space="0" w:color="auto"/>
        <w:bottom w:val="none" w:sz="0" w:space="0" w:color="auto"/>
        <w:right w:val="none" w:sz="0" w:space="0" w:color="auto"/>
      </w:divBdr>
    </w:div>
    <w:div w:id="1438256129">
      <w:bodyDiv w:val="1"/>
      <w:marLeft w:val="0"/>
      <w:marRight w:val="0"/>
      <w:marTop w:val="0"/>
      <w:marBottom w:val="0"/>
      <w:divBdr>
        <w:top w:val="none" w:sz="0" w:space="0" w:color="auto"/>
        <w:left w:val="none" w:sz="0" w:space="0" w:color="auto"/>
        <w:bottom w:val="none" w:sz="0" w:space="0" w:color="auto"/>
        <w:right w:val="none" w:sz="0" w:space="0" w:color="auto"/>
      </w:divBdr>
    </w:div>
    <w:div w:id="1501192377">
      <w:bodyDiv w:val="1"/>
      <w:marLeft w:val="0"/>
      <w:marRight w:val="0"/>
      <w:marTop w:val="0"/>
      <w:marBottom w:val="0"/>
      <w:divBdr>
        <w:top w:val="none" w:sz="0" w:space="0" w:color="auto"/>
        <w:left w:val="none" w:sz="0" w:space="0" w:color="auto"/>
        <w:bottom w:val="none" w:sz="0" w:space="0" w:color="auto"/>
        <w:right w:val="none" w:sz="0" w:space="0" w:color="auto"/>
      </w:divBdr>
    </w:div>
    <w:div w:id="1503274453">
      <w:bodyDiv w:val="1"/>
      <w:marLeft w:val="0"/>
      <w:marRight w:val="0"/>
      <w:marTop w:val="0"/>
      <w:marBottom w:val="0"/>
      <w:divBdr>
        <w:top w:val="none" w:sz="0" w:space="0" w:color="auto"/>
        <w:left w:val="none" w:sz="0" w:space="0" w:color="auto"/>
        <w:bottom w:val="none" w:sz="0" w:space="0" w:color="auto"/>
        <w:right w:val="none" w:sz="0" w:space="0" w:color="auto"/>
      </w:divBdr>
    </w:div>
    <w:div w:id="1517883467">
      <w:bodyDiv w:val="1"/>
      <w:marLeft w:val="0"/>
      <w:marRight w:val="0"/>
      <w:marTop w:val="0"/>
      <w:marBottom w:val="0"/>
      <w:divBdr>
        <w:top w:val="none" w:sz="0" w:space="0" w:color="auto"/>
        <w:left w:val="none" w:sz="0" w:space="0" w:color="auto"/>
        <w:bottom w:val="none" w:sz="0" w:space="0" w:color="auto"/>
        <w:right w:val="none" w:sz="0" w:space="0" w:color="auto"/>
      </w:divBdr>
    </w:div>
    <w:div w:id="1537693690">
      <w:bodyDiv w:val="1"/>
      <w:marLeft w:val="0"/>
      <w:marRight w:val="0"/>
      <w:marTop w:val="0"/>
      <w:marBottom w:val="0"/>
      <w:divBdr>
        <w:top w:val="none" w:sz="0" w:space="0" w:color="auto"/>
        <w:left w:val="none" w:sz="0" w:space="0" w:color="auto"/>
        <w:bottom w:val="none" w:sz="0" w:space="0" w:color="auto"/>
        <w:right w:val="none" w:sz="0" w:space="0" w:color="auto"/>
      </w:divBdr>
    </w:div>
    <w:div w:id="1541430744">
      <w:bodyDiv w:val="1"/>
      <w:marLeft w:val="0"/>
      <w:marRight w:val="0"/>
      <w:marTop w:val="0"/>
      <w:marBottom w:val="0"/>
      <w:divBdr>
        <w:top w:val="none" w:sz="0" w:space="0" w:color="auto"/>
        <w:left w:val="none" w:sz="0" w:space="0" w:color="auto"/>
        <w:bottom w:val="none" w:sz="0" w:space="0" w:color="auto"/>
        <w:right w:val="none" w:sz="0" w:space="0" w:color="auto"/>
      </w:divBdr>
    </w:div>
    <w:div w:id="1592860546">
      <w:bodyDiv w:val="1"/>
      <w:marLeft w:val="0"/>
      <w:marRight w:val="0"/>
      <w:marTop w:val="0"/>
      <w:marBottom w:val="0"/>
      <w:divBdr>
        <w:top w:val="none" w:sz="0" w:space="0" w:color="auto"/>
        <w:left w:val="none" w:sz="0" w:space="0" w:color="auto"/>
        <w:bottom w:val="none" w:sz="0" w:space="0" w:color="auto"/>
        <w:right w:val="none" w:sz="0" w:space="0" w:color="auto"/>
      </w:divBdr>
    </w:div>
    <w:div w:id="1619795334">
      <w:bodyDiv w:val="1"/>
      <w:marLeft w:val="0"/>
      <w:marRight w:val="0"/>
      <w:marTop w:val="0"/>
      <w:marBottom w:val="0"/>
      <w:divBdr>
        <w:top w:val="none" w:sz="0" w:space="0" w:color="auto"/>
        <w:left w:val="none" w:sz="0" w:space="0" w:color="auto"/>
        <w:bottom w:val="none" w:sz="0" w:space="0" w:color="auto"/>
        <w:right w:val="none" w:sz="0" w:space="0" w:color="auto"/>
      </w:divBdr>
    </w:div>
    <w:div w:id="1640839543">
      <w:bodyDiv w:val="1"/>
      <w:marLeft w:val="0"/>
      <w:marRight w:val="0"/>
      <w:marTop w:val="0"/>
      <w:marBottom w:val="0"/>
      <w:divBdr>
        <w:top w:val="none" w:sz="0" w:space="0" w:color="auto"/>
        <w:left w:val="none" w:sz="0" w:space="0" w:color="auto"/>
        <w:bottom w:val="none" w:sz="0" w:space="0" w:color="auto"/>
        <w:right w:val="none" w:sz="0" w:space="0" w:color="auto"/>
      </w:divBdr>
    </w:div>
    <w:div w:id="1672562563">
      <w:bodyDiv w:val="1"/>
      <w:marLeft w:val="0"/>
      <w:marRight w:val="0"/>
      <w:marTop w:val="0"/>
      <w:marBottom w:val="0"/>
      <w:divBdr>
        <w:top w:val="none" w:sz="0" w:space="0" w:color="auto"/>
        <w:left w:val="none" w:sz="0" w:space="0" w:color="auto"/>
        <w:bottom w:val="none" w:sz="0" w:space="0" w:color="auto"/>
        <w:right w:val="none" w:sz="0" w:space="0" w:color="auto"/>
      </w:divBdr>
    </w:div>
    <w:div w:id="1675374510">
      <w:bodyDiv w:val="1"/>
      <w:marLeft w:val="0"/>
      <w:marRight w:val="0"/>
      <w:marTop w:val="0"/>
      <w:marBottom w:val="0"/>
      <w:divBdr>
        <w:top w:val="none" w:sz="0" w:space="0" w:color="auto"/>
        <w:left w:val="none" w:sz="0" w:space="0" w:color="auto"/>
        <w:bottom w:val="none" w:sz="0" w:space="0" w:color="auto"/>
        <w:right w:val="none" w:sz="0" w:space="0" w:color="auto"/>
      </w:divBdr>
    </w:div>
    <w:div w:id="1722944668">
      <w:bodyDiv w:val="1"/>
      <w:marLeft w:val="0"/>
      <w:marRight w:val="0"/>
      <w:marTop w:val="0"/>
      <w:marBottom w:val="0"/>
      <w:divBdr>
        <w:top w:val="none" w:sz="0" w:space="0" w:color="auto"/>
        <w:left w:val="none" w:sz="0" w:space="0" w:color="auto"/>
        <w:bottom w:val="none" w:sz="0" w:space="0" w:color="auto"/>
        <w:right w:val="none" w:sz="0" w:space="0" w:color="auto"/>
      </w:divBdr>
    </w:div>
    <w:div w:id="1769615583">
      <w:bodyDiv w:val="1"/>
      <w:marLeft w:val="0"/>
      <w:marRight w:val="0"/>
      <w:marTop w:val="0"/>
      <w:marBottom w:val="0"/>
      <w:divBdr>
        <w:top w:val="none" w:sz="0" w:space="0" w:color="auto"/>
        <w:left w:val="none" w:sz="0" w:space="0" w:color="auto"/>
        <w:bottom w:val="none" w:sz="0" w:space="0" w:color="auto"/>
        <w:right w:val="none" w:sz="0" w:space="0" w:color="auto"/>
      </w:divBdr>
    </w:div>
    <w:div w:id="1798915534">
      <w:bodyDiv w:val="1"/>
      <w:marLeft w:val="0"/>
      <w:marRight w:val="0"/>
      <w:marTop w:val="0"/>
      <w:marBottom w:val="0"/>
      <w:divBdr>
        <w:top w:val="none" w:sz="0" w:space="0" w:color="auto"/>
        <w:left w:val="none" w:sz="0" w:space="0" w:color="auto"/>
        <w:bottom w:val="none" w:sz="0" w:space="0" w:color="auto"/>
        <w:right w:val="none" w:sz="0" w:space="0" w:color="auto"/>
      </w:divBdr>
    </w:div>
    <w:div w:id="1805271586">
      <w:bodyDiv w:val="1"/>
      <w:marLeft w:val="0"/>
      <w:marRight w:val="0"/>
      <w:marTop w:val="0"/>
      <w:marBottom w:val="0"/>
      <w:divBdr>
        <w:top w:val="none" w:sz="0" w:space="0" w:color="auto"/>
        <w:left w:val="none" w:sz="0" w:space="0" w:color="auto"/>
        <w:bottom w:val="none" w:sz="0" w:space="0" w:color="auto"/>
        <w:right w:val="none" w:sz="0" w:space="0" w:color="auto"/>
      </w:divBdr>
    </w:div>
    <w:div w:id="1841310322">
      <w:bodyDiv w:val="1"/>
      <w:marLeft w:val="0"/>
      <w:marRight w:val="0"/>
      <w:marTop w:val="0"/>
      <w:marBottom w:val="0"/>
      <w:divBdr>
        <w:top w:val="none" w:sz="0" w:space="0" w:color="auto"/>
        <w:left w:val="none" w:sz="0" w:space="0" w:color="auto"/>
        <w:bottom w:val="none" w:sz="0" w:space="0" w:color="auto"/>
        <w:right w:val="none" w:sz="0" w:space="0" w:color="auto"/>
      </w:divBdr>
    </w:div>
    <w:div w:id="1858930147">
      <w:bodyDiv w:val="1"/>
      <w:marLeft w:val="0"/>
      <w:marRight w:val="0"/>
      <w:marTop w:val="0"/>
      <w:marBottom w:val="0"/>
      <w:divBdr>
        <w:top w:val="none" w:sz="0" w:space="0" w:color="auto"/>
        <w:left w:val="none" w:sz="0" w:space="0" w:color="auto"/>
        <w:bottom w:val="none" w:sz="0" w:space="0" w:color="auto"/>
        <w:right w:val="none" w:sz="0" w:space="0" w:color="auto"/>
      </w:divBdr>
    </w:div>
    <w:div w:id="1868909698">
      <w:bodyDiv w:val="1"/>
      <w:marLeft w:val="0"/>
      <w:marRight w:val="0"/>
      <w:marTop w:val="0"/>
      <w:marBottom w:val="0"/>
      <w:divBdr>
        <w:top w:val="none" w:sz="0" w:space="0" w:color="auto"/>
        <w:left w:val="none" w:sz="0" w:space="0" w:color="auto"/>
        <w:bottom w:val="none" w:sz="0" w:space="0" w:color="auto"/>
        <w:right w:val="none" w:sz="0" w:space="0" w:color="auto"/>
      </w:divBdr>
    </w:div>
    <w:div w:id="1907689674">
      <w:bodyDiv w:val="1"/>
      <w:marLeft w:val="0"/>
      <w:marRight w:val="0"/>
      <w:marTop w:val="0"/>
      <w:marBottom w:val="0"/>
      <w:divBdr>
        <w:top w:val="none" w:sz="0" w:space="0" w:color="auto"/>
        <w:left w:val="none" w:sz="0" w:space="0" w:color="auto"/>
        <w:bottom w:val="none" w:sz="0" w:space="0" w:color="auto"/>
        <w:right w:val="none" w:sz="0" w:space="0" w:color="auto"/>
      </w:divBdr>
    </w:div>
    <w:div w:id="1948269338">
      <w:bodyDiv w:val="1"/>
      <w:marLeft w:val="0"/>
      <w:marRight w:val="0"/>
      <w:marTop w:val="0"/>
      <w:marBottom w:val="0"/>
      <w:divBdr>
        <w:top w:val="none" w:sz="0" w:space="0" w:color="auto"/>
        <w:left w:val="none" w:sz="0" w:space="0" w:color="auto"/>
        <w:bottom w:val="none" w:sz="0" w:space="0" w:color="auto"/>
        <w:right w:val="none" w:sz="0" w:space="0" w:color="auto"/>
      </w:divBdr>
    </w:div>
    <w:div w:id="1970281399">
      <w:bodyDiv w:val="1"/>
      <w:marLeft w:val="0"/>
      <w:marRight w:val="0"/>
      <w:marTop w:val="0"/>
      <w:marBottom w:val="0"/>
      <w:divBdr>
        <w:top w:val="none" w:sz="0" w:space="0" w:color="auto"/>
        <w:left w:val="none" w:sz="0" w:space="0" w:color="auto"/>
        <w:bottom w:val="none" w:sz="0" w:space="0" w:color="auto"/>
        <w:right w:val="none" w:sz="0" w:space="0" w:color="auto"/>
      </w:divBdr>
    </w:div>
    <w:div w:id="2006935015">
      <w:bodyDiv w:val="1"/>
      <w:marLeft w:val="0"/>
      <w:marRight w:val="0"/>
      <w:marTop w:val="0"/>
      <w:marBottom w:val="0"/>
      <w:divBdr>
        <w:top w:val="none" w:sz="0" w:space="0" w:color="auto"/>
        <w:left w:val="none" w:sz="0" w:space="0" w:color="auto"/>
        <w:bottom w:val="none" w:sz="0" w:space="0" w:color="auto"/>
        <w:right w:val="none" w:sz="0" w:space="0" w:color="auto"/>
      </w:divBdr>
    </w:div>
    <w:div w:id="2058965451">
      <w:bodyDiv w:val="1"/>
      <w:marLeft w:val="0"/>
      <w:marRight w:val="0"/>
      <w:marTop w:val="0"/>
      <w:marBottom w:val="0"/>
      <w:divBdr>
        <w:top w:val="none" w:sz="0" w:space="0" w:color="auto"/>
        <w:left w:val="none" w:sz="0" w:space="0" w:color="auto"/>
        <w:bottom w:val="none" w:sz="0" w:space="0" w:color="auto"/>
        <w:right w:val="none" w:sz="0" w:space="0" w:color="auto"/>
      </w:divBdr>
    </w:div>
    <w:div w:id="2065984601">
      <w:bodyDiv w:val="1"/>
      <w:marLeft w:val="0"/>
      <w:marRight w:val="0"/>
      <w:marTop w:val="0"/>
      <w:marBottom w:val="0"/>
      <w:divBdr>
        <w:top w:val="none" w:sz="0" w:space="0" w:color="auto"/>
        <w:left w:val="none" w:sz="0" w:space="0" w:color="auto"/>
        <w:bottom w:val="none" w:sz="0" w:space="0" w:color="auto"/>
        <w:right w:val="none" w:sz="0" w:space="0" w:color="auto"/>
      </w:divBdr>
    </w:div>
    <w:div w:id="20873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si.rcc.int/docs_archive" TargetMode="External"/><Relationship Id="rId117" Type="http://schemas.openxmlformats.org/officeDocument/2006/relationships/hyperlink" Target="mailto:https://www.rcc.int/pubs/217/revised-green-agenda-action-plan-20252030" TargetMode="External"/><Relationship Id="rId21" Type="http://schemas.openxmlformats.org/officeDocument/2006/relationships/hyperlink" Target="mailto:https://www.rcc.int/docs/767/declaration-on-western-balkans-six-tourism-branding" TargetMode="External"/><Relationship Id="rId42" Type="http://schemas.openxmlformats.org/officeDocument/2006/relationships/hyperlink" Target="https://www.esap.online/observatory/" TargetMode="External"/><Relationship Id="rId47" Type="http://schemas.openxmlformats.org/officeDocument/2006/relationships/hyperlink" Target="mailto:https://www.rcc.int/docs/761/regional-sustainable-finance-taxonomy-for-the-western-balkans-six" TargetMode="External"/><Relationship Id="rId63" Type="http://schemas.openxmlformats.org/officeDocument/2006/relationships/hyperlink" Target="https://www.rcc.int/pubs/211/western-balkans-digital-economy-and-society-index-2024-report" TargetMode="External"/><Relationship Id="rId68" Type="http://schemas.openxmlformats.org/officeDocument/2006/relationships/hyperlink" Target="mailto:https://www.rcc.int/pubs/212/regional-action-plan-on-prevention-of-plastic-pollution-including-marine-litter" TargetMode="External"/><Relationship Id="rId84" Type="http://schemas.openxmlformats.org/officeDocument/2006/relationships/hyperlink" Target="https://www.rcc.int/see2030/" TargetMode="External"/><Relationship Id="rId89" Type="http://schemas.openxmlformats.org/officeDocument/2006/relationships/hyperlink" Target="mailto:https://www.rcc.int/see2030/about" TargetMode="External"/><Relationship Id="rId112" Type="http://schemas.openxmlformats.org/officeDocument/2006/relationships/hyperlink" Target="mailto:https://www.rcc.int/docs/765/model-clauses-for-sustainable-investment-in-the-western-balkans-six" TargetMode="External"/><Relationship Id="rId16" Type="http://schemas.openxmlformats.org/officeDocument/2006/relationships/hyperlink" Target="mailto:https://www.rcc.int/docs/764/sustainable-fdi-policy-toolkit-for-the-western-balkans-six" TargetMode="External"/><Relationship Id="rId107" Type="http://schemas.openxmlformats.org/officeDocument/2006/relationships/hyperlink" Target="mailto:https://www.rcc.int/docs/760/western-balkans-six-green-bond-standard" TargetMode="External"/><Relationship Id="rId11" Type="http://schemas.openxmlformats.org/officeDocument/2006/relationships/hyperlink" Target="mailto:https://www.rcc.int/see2030/about" TargetMode="External"/><Relationship Id="rId32" Type="http://schemas.openxmlformats.org/officeDocument/2006/relationships/hyperlink" Target="https://www.rcc.int/pubs/218/2024-report-on-the-implementation-of-the-green-agenda-for-the-western-balkans-action-plan-gari?utm_source=chatgpt.com" TargetMode="External"/><Relationship Id="rId37" Type="http://schemas.openxmlformats.org/officeDocument/2006/relationships/hyperlink" Target="mailto:https://www.rcc.int/priority_areas/66/regional-security-coordination-conference" TargetMode="External"/><Relationship Id="rId53" Type="http://schemas.openxmlformats.org/officeDocument/2006/relationships/hyperlink" Target="https://westernbalkans-infohub.eu/documents/mapping-of-digital-innovation-hubs-and-identification-of-needs-within-western-balkans-and-of-prospective-regional-cooperation-actions/" TargetMode="External"/><Relationship Id="rId58" Type="http://schemas.openxmlformats.org/officeDocument/2006/relationships/hyperlink" Target="https://www.rcc.int/news/989/4th-butterfly-innovation-awards-celebrate-breakthrough-ideas-from-across-the-western-balkans" TargetMode="External"/><Relationship Id="rId74" Type="http://schemas.openxmlformats.org/officeDocument/2006/relationships/hyperlink" Target="https://www.rcc.int/news/976/youth-from-the-region-lead-the-way-towards-a-greener-western-balkans" TargetMode="External"/><Relationship Id="rId79" Type="http://schemas.openxmlformats.org/officeDocument/2006/relationships/hyperlink" Target="https://www.rcc.int/news/987/youth-belong-at-the-core-of-regional-growth-and-cooperation" TargetMode="External"/><Relationship Id="rId102" Type="http://schemas.openxmlformats.org/officeDocument/2006/relationships/hyperlink" Target="https://www.rcc.int/priority_areas/66/regional-security-coordination-conference" TargetMode="External"/><Relationship Id="rId123"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mailto:SEE2030%20Strategy" TargetMode="External"/><Relationship Id="rId95" Type="http://schemas.openxmlformats.org/officeDocument/2006/relationships/hyperlink" Target="https://www.rcc.int/securimeter/home" TargetMode="External"/><Relationship Id="rId22" Type="http://schemas.openxmlformats.org/officeDocument/2006/relationships/hyperlink" Target="mailto:https://www.bing.com/search?q=Joint+Call+for+Action+on+Gender-Responsive+Green+Finance+and+accompanying+recommendations&amp;cvid=56231d843dc84557a1674f46147c24c6&amp;gs_lcrp=EgRlZGdlKgYIABBFGDsyBggAEEUYOzIGCAEQRRg8MggIAhDpBxj8VTIHCAMQ6wcYQNIBCDQ2NDZqMGo5qAIIsAIB&amp;FORM=ANAB01&amp;PC=LCTS" TargetMode="External"/><Relationship Id="rId27" Type="http://schemas.openxmlformats.org/officeDocument/2006/relationships/hyperlink" Target="mailto:https://www.rcc.int/pubs/214/dubrovnik-declaration" TargetMode="External"/><Relationship Id="rId43" Type="http://schemas.openxmlformats.org/officeDocument/2006/relationships/hyperlink" Target="mailto:https://www.rcc.int/docs/763/recommendation-on-sustainable-foreign-direct-investment-in-the-western-balkans-six" TargetMode="External"/><Relationship Id="rId48" Type="http://schemas.openxmlformats.org/officeDocument/2006/relationships/hyperlink" Target="mailto:https://www.rcc.int/docs/760/western-balkans-six-green-bond-standard" TargetMode="External"/><Relationship Id="rId64" Type="http://schemas.openxmlformats.org/officeDocument/2006/relationships/hyperlink" Target="https://desi.rcc.int/docs_archive" TargetMode="External"/><Relationship Id="rId69" Type="http://schemas.openxmlformats.org/officeDocument/2006/relationships/hyperlink" Target="mailto:https://www.rcc.int/pubs/215/western-balkans-six-biodiversity-strategic-plan-2030" TargetMode="External"/><Relationship Id="rId113" Type="http://schemas.openxmlformats.org/officeDocument/2006/relationships/hyperlink" Target="mailto:https://www.rcc.int/docs/766/joint-principles-for-investment-facilitation-in-the-western-balkans-six" TargetMode="External"/><Relationship Id="rId118" Type="http://schemas.openxmlformats.org/officeDocument/2006/relationships/hyperlink" Target="mailto:https://www.rcc.int/pubs/213/wb6-climate-adaptation-roadmap" TargetMode="External"/><Relationship Id="rId80" Type="http://schemas.openxmlformats.org/officeDocument/2006/relationships/hyperlink" Target="https://www.esap.online/social_scoreboard/?action=social_scoreboard" TargetMode="External"/><Relationship Id="rId85" Type="http://schemas.openxmlformats.org/officeDocument/2006/relationships/hyperlink" Target="mailto:https://www.rcc.int/see2030/about" TargetMode="External"/><Relationship Id="rId12" Type="http://schemas.openxmlformats.org/officeDocument/2006/relationships/hyperlink" Target="mailto:https://www.rcc.int/priority_areas/67/see-regional-network-on-disaster-risk-insurance-and-risk-sharing" TargetMode="External"/><Relationship Id="rId17" Type="http://schemas.openxmlformats.org/officeDocument/2006/relationships/hyperlink" Target="mailto:https://www.rcc.int/docs/761/regional-sustainable-finance-taxonomy-for-the-western-balkans-six" TargetMode="External"/><Relationship Id="rId33" Type="http://schemas.openxmlformats.org/officeDocument/2006/relationships/hyperlink" Target="https://www.rcc.int/priority_areas/66/jumbo-security-conference" TargetMode="External"/><Relationship Id="rId38" Type="http://schemas.openxmlformats.org/officeDocument/2006/relationships/hyperlink" Target="mailto:https://www.rcc.int/news/962/south-east-european-military-intelligence-chiefs-meet-in-sarajevo-under-rcc-auspices" TargetMode="External"/><Relationship Id="rId59" Type="http://schemas.openxmlformats.org/officeDocument/2006/relationships/hyperlink" Target="mailto:https://www.rcc.int/pubs/217/revised-green-agenda-action-plan-20252030" TargetMode="External"/><Relationship Id="rId103" Type="http://schemas.openxmlformats.org/officeDocument/2006/relationships/hyperlink" Target="https://www.rcc.int/news/962/south-east-european-military-intelligence-chiefs-meet-in-sarajevo-under-rcc-auspices" TargetMode="External"/><Relationship Id="rId108" Type="http://schemas.openxmlformats.org/officeDocument/2006/relationships/hyperlink" Target="mailto:https://www.rcc.int/docs/761/regional-sustainable-finance-taxonomy-for-the-western-balkans-six" TargetMode="External"/><Relationship Id="rId124" Type="http://schemas.openxmlformats.org/officeDocument/2006/relationships/footer" Target="footer2.xml"/><Relationship Id="rId54" Type="http://schemas.openxmlformats.org/officeDocument/2006/relationships/hyperlink" Target="mailto:https://www.rcc.int/docs/719/declaration-on-research-and-innovation-infrastructure-access-and-collaboration" TargetMode="External"/><Relationship Id="rId70" Type="http://schemas.openxmlformats.org/officeDocument/2006/relationships/hyperlink" Target="mailto:https://www.rcc.int/pubs/218/2024-report-on-the-implementation-of-the-green-agenda-for-the-western-balkans-action-plan-gari" TargetMode="External"/><Relationship Id="rId75" Type="http://schemas.openxmlformats.org/officeDocument/2006/relationships/hyperlink" Target="https://www.rcc.int/news/883/rccs-eu-funded-wbyl-launched-youth-policy-lab-on-green-agenda" TargetMode="External"/><Relationship Id="rId91" Type="http://schemas.openxmlformats.org/officeDocument/2006/relationships/hyperlink" Target="https://www.rcc.int/securimeter/home" TargetMode="External"/><Relationship Id="rId96" Type="http://schemas.openxmlformats.org/officeDocument/2006/relationships/hyperlink" Target="https://www.rcc.int/news/985/a-decade-of-shared-security-10th-regional-security-coordination-conference-opens-in-skopj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esternbalkans-infohub.eu/documents/mapping-of-digital-innovation-hubs-and-identification-of-needs-within-western-balkans-and-of-prospective-regional-cooperation-actions/" TargetMode="External"/><Relationship Id="rId28" Type="http://schemas.openxmlformats.org/officeDocument/2006/relationships/hyperlink" Target="mailto:https://www.rcc.int/pubs/217/revised-green-agenda-action-plan-20252030" TargetMode="External"/><Relationship Id="rId49" Type="http://schemas.openxmlformats.org/officeDocument/2006/relationships/hyperlink" Target="mailto:https://www.rcc.int/docs/762/western-balkans-six-financial-literacy-framework-for-individuals" TargetMode="External"/><Relationship Id="rId114" Type="http://schemas.openxmlformats.org/officeDocument/2006/relationships/hyperlink" Target="mailto:https://www.rcc.int/docs/767/declaration-on-western-balkans-six-tourism-branding" TargetMode="External"/><Relationship Id="rId119" Type="http://schemas.openxmlformats.org/officeDocument/2006/relationships/hyperlink" Target="mailto:https://www.rcc.int/pubs/212/regional-action-plan-on-prevention-of-plastic-pollution-including-marine-litter" TargetMode="External"/><Relationship Id="rId44" Type="http://schemas.openxmlformats.org/officeDocument/2006/relationships/hyperlink" Target="mailto:https://www.rcc.int/docs/765/model-clauses-for-sustainable-investment-in-the-western-balkans-six" TargetMode="External"/><Relationship Id="rId60" Type="http://schemas.openxmlformats.org/officeDocument/2006/relationships/hyperlink" Target="mailto:https://rrd.rcc.int/qualification-data" TargetMode="External"/><Relationship Id="rId65" Type="http://schemas.openxmlformats.org/officeDocument/2006/relationships/hyperlink" Target="mailto:https://www.rcc.int/docs/755/joint-statement-on-achieving-western-balkans-six-interoperable-digital-id-wallets-and-trust-services" TargetMode="External"/><Relationship Id="rId81" Type="http://schemas.openxmlformats.org/officeDocument/2006/relationships/hyperlink" Target="mailto:https://www.rcc.int/pages/92/strategy-and-work-programme" TargetMode="External"/><Relationship Id="rId86" Type="http://schemas.openxmlformats.org/officeDocument/2006/relationships/hyperlink" Target="https://www.rcc.int/news/980/rcc-brings-leading-international-scholars-and-researchers-to-sarajevo-to-rethink-progress-beyond-gdp" TargetMode="External"/><Relationship Id="rId13" Type="http://schemas.openxmlformats.org/officeDocument/2006/relationships/hyperlink" Target="mailto:https://www.rcc.int/docs/763/recommendation-on-sustainable-foreign-direct-investment-in-the-western-balkans-six" TargetMode="External"/><Relationship Id="rId18" Type="http://schemas.openxmlformats.org/officeDocument/2006/relationships/hyperlink" Target="mailto:https://www.rcc.int/docs/760/western-balkans-six-green-bond-standard" TargetMode="External"/><Relationship Id="rId39" Type="http://schemas.openxmlformats.org/officeDocument/2006/relationships/hyperlink" Target="mailto:https://www.rcc.int/working_groups/34/south-east-europe-national-authority-chiefs-forum--seensa" TargetMode="External"/><Relationship Id="rId109" Type="http://schemas.openxmlformats.org/officeDocument/2006/relationships/hyperlink" Target="mailto:https://www.rcc.int/docs/762/western-balkans-six-financial-literacy-framework-for-individuals" TargetMode="External"/><Relationship Id="rId34" Type="http://schemas.openxmlformats.org/officeDocument/2006/relationships/hyperlink" Target="https://www.rcc.int/download/docs/Post-Conference-Report-RCC-Jumbo-2025.pdf/d0d9e7f7857fb61ecc487a2c95edc33f.pdf" TargetMode="External"/><Relationship Id="rId50" Type="http://schemas.openxmlformats.org/officeDocument/2006/relationships/hyperlink" Target="mailto:https://www.rcc.int/docs/768/regional-green-public-procurement-criteria-for-the-western-balkans-six" TargetMode="External"/><Relationship Id="rId55" Type="http://schemas.openxmlformats.org/officeDocument/2006/relationships/hyperlink" Target="https://westernbalkans-infohub.eu/calls/regional-online-matchmaking-platform-for-research-innovation-infrastructures/" TargetMode="External"/><Relationship Id="rId76" Type="http://schemas.openxmlformats.org/officeDocument/2006/relationships/hyperlink" Target="https://www.rcc.int/news/933/rccs-wbyl-shines-at-esg-adria-summit-youth-leading-the-green-transitionrn" TargetMode="External"/><Relationship Id="rId97" Type="http://schemas.openxmlformats.org/officeDocument/2006/relationships/hyperlink" Target="https://www.rcc.int/download/docs/Post-Conference-Report-RCC-Jumbo-2025.pdf/d0d9e7f7857fb61ecc487a2c95edc33f.pdf" TargetMode="External"/><Relationship Id="rId104" Type="http://schemas.openxmlformats.org/officeDocument/2006/relationships/hyperlink" Target="https://www.rcc.int/working_groups/34/south-east-europe-national-authority-chiefs-forum--seensa" TargetMode="External"/><Relationship Id="rId120" Type="http://schemas.openxmlformats.org/officeDocument/2006/relationships/hyperlink" Target="mailto:https://www.rcc.int/pubs/214/dubrovnik-declaration"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https://www.rcc.int/pubs/215/western-balkans-six-biodiversity-strategic-plan-2030" TargetMode="External"/><Relationship Id="rId92" Type="http://schemas.openxmlformats.org/officeDocument/2006/relationships/hyperlink" Target="https://www.rcc.int/news/962/south-east-european-military-intelligence-chiefs-meet-in-sarajevo-under-rcc-auspices" TargetMode="External"/><Relationship Id="rId2" Type="http://schemas.openxmlformats.org/officeDocument/2006/relationships/numbering" Target="numbering.xml"/><Relationship Id="rId29" Type="http://schemas.openxmlformats.org/officeDocument/2006/relationships/hyperlink" Target="mailto:https://www.rcc.int/pubs/213/wb6-climate-adaptation-roadmap" TargetMode="External"/><Relationship Id="rId24" Type="http://schemas.openxmlformats.org/officeDocument/2006/relationships/hyperlink" Target="https://westernbalkans-infohub.eu/calls/regional-online-matchmaking-platform-for-research-innovation-infrastructures/" TargetMode="External"/><Relationship Id="rId40" Type="http://schemas.openxmlformats.org/officeDocument/2006/relationships/hyperlink" Target="mailto:https://www.rcc.int/balkanbarometer/home" TargetMode="External"/><Relationship Id="rId45" Type="http://schemas.openxmlformats.org/officeDocument/2006/relationships/hyperlink" Target="mailto:https://www.rcc.int/docs/764/sustainable-fdi-policy-toolkit-for-the-western-balkans-six" TargetMode="External"/><Relationship Id="rId66" Type="http://schemas.openxmlformats.org/officeDocument/2006/relationships/hyperlink" Target="https://www.rcc.int/pubs/218/2024-report-on-the-implementation-of-the-green-agenda-for-the-western-balkans-action-plan-gari?utm_source=chatgpt.com" TargetMode="External"/><Relationship Id="rId87" Type="http://schemas.openxmlformats.org/officeDocument/2006/relationships/hyperlink" Target="mailto:https://www.rcc.int/priority_areas/67/see-regional-network-on-disaster-risk-insurance-and-risk-sharing" TargetMode="External"/><Relationship Id="rId110" Type="http://schemas.openxmlformats.org/officeDocument/2006/relationships/hyperlink" Target="mailto:https://www.bing.com/search?q=Recommendation+on+Sustainable+Foreign+Direct+Investment+in+the+Western+Balkans+Six&amp;cvid=27d9f0301f2246a8bd4e1abae0c020fd&amp;gs_lcrp=EgRlZGdlKgYIABBFGDkyBggAEEUYOTIGCAEQRRg8MggIAhDpBxj8VTIHCAMQ6wcYQNIBCDQyNThqMGo0qAIIsAIB&amp;FORM=ANAB01&amp;PC=LCTS" TargetMode="External"/><Relationship Id="rId115" Type="http://schemas.openxmlformats.org/officeDocument/2006/relationships/hyperlink" Target="mailto:https://www.bing.com/search?q=Joint+Statement+on+the+Development+and+Adoption+of+Regional+Green+Public+Procurement+Criteria+in+the+Western+Balkans+Six&amp;cvid=6ec246dbc1a1471797e55694eebd4d0e&amp;gs_lcrp=EgRlZGdlKgYIABBFGDkyBggAEEUYOTIICAEQ6QcY_FUyBwgCEOsHGEDSAQg0NTc4ajBqOagCCLACAQ&amp;FORM=ANAB01&amp;PC=LCTS" TargetMode="External"/><Relationship Id="rId61" Type="http://schemas.openxmlformats.org/officeDocument/2006/relationships/hyperlink" Target="mailto:https://www.rcc.int/docs/754/joint-statement-on-digitally-connected-western-balkans-six" TargetMode="External"/><Relationship Id="rId82" Type="http://schemas.openxmlformats.org/officeDocument/2006/relationships/hyperlink" Target="mailto:https://www.rcc.int/files/user/docs/reports/RCC-Annual-Report-2024-2025-rich.pdf" TargetMode="External"/><Relationship Id="rId19" Type="http://schemas.openxmlformats.org/officeDocument/2006/relationships/hyperlink" Target="mailto:https://www.rcc.int/docs/762/western-balkans-six-financial-literacy-framework-for-individuals" TargetMode="External"/><Relationship Id="rId14" Type="http://schemas.openxmlformats.org/officeDocument/2006/relationships/hyperlink" Target="mailto:https://www.rcc.int/docs/765/model-clauses-for-sustainable-investment-in-the-western-balkans-six" TargetMode="External"/><Relationship Id="rId30" Type="http://schemas.openxmlformats.org/officeDocument/2006/relationships/hyperlink" Target="mailto:https://www.rcc.int/pubs/212/regional-action-plan-on-prevention-of-plastic-pollution-including-marine-litter" TargetMode="External"/><Relationship Id="rId35" Type="http://schemas.openxmlformats.org/officeDocument/2006/relationships/hyperlink" Target="mailto:https://www.rcc.int/securimeter/home" TargetMode="External"/><Relationship Id="rId56" Type="http://schemas.openxmlformats.org/officeDocument/2006/relationships/hyperlink" Target="mailto:https://www.rcc.int/pubs/216/western-balkans-start-up-ecosystem-at-a-crossroads" TargetMode="External"/><Relationship Id="rId77" Type="http://schemas.openxmlformats.org/officeDocument/2006/relationships/hyperlink" Target="https://www.rcc.int/news/986/rccs-eu-funded-wbyl2-launched-youth-policy-lab-on-media-literacy-and-disinformation" TargetMode="External"/><Relationship Id="rId100" Type="http://schemas.openxmlformats.org/officeDocument/2006/relationships/hyperlink" Target="mailto:https://www.rcc.int/securimeter/publications" TargetMode="External"/><Relationship Id="rId105" Type="http://schemas.openxmlformats.org/officeDocument/2006/relationships/hyperlink" Target="file:///C:\Users\zukovic\Downloads\https\www.rcc.int\securimeter\home" TargetMode="External"/><Relationship Id="rId12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https://www.rcc.int/docs/767/declaration-on-western-balkans-six-tourism-branding" TargetMode="External"/><Relationship Id="rId72" Type="http://schemas.openxmlformats.org/officeDocument/2006/relationships/hyperlink" Target="mailto:https://www.rcc.int/pubs/215/western-balkans-six-biodiversity-strategic-plan-2030" TargetMode="External"/><Relationship Id="rId93" Type="http://schemas.openxmlformats.org/officeDocument/2006/relationships/hyperlink" Target="mailto:https://www.rcc.int/securimeter/home" TargetMode="External"/><Relationship Id="rId98" Type="http://schemas.openxmlformats.org/officeDocument/2006/relationships/hyperlink" Target="https://www.rcc.int/news/988/kapetanovic-when-the-european-path-is-credible-trust-in-the-region-rises-as-well" TargetMode="External"/><Relationship Id="rId121" Type="http://schemas.openxmlformats.org/officeDocument/2006/relationships/hyperlink" Target="mailto:https://www.rcc.int/balkanbarometer/home" TargetMode="External"/><Relationship Id="rId3" Type="http://schemas.openxmlformats.org/officeDocument/2006/relationships/styles" Target="styles.xml"/><Relationship Id="rId25" Type="http://schemas.openxmlformats.org/officeDocument/2006/relationships/hyperlink" Target="https://www.esap.online/social_scoreboard/?action=social_scoreboard" TargetMode="External"/><Relationship Id="rId46" Type="http://schemas.openxmlformats.org/officeDocument/2006/relationships/hyperlink" Target="mailto:https://www.rcc.int/docs/766/joint-principles-for-investment-facilitation-in-the-western-balkans-six" TargetMode="External"/><Relationship Id="rId67" Type="http://schemas.openxmlformats.org/officeDocument/2006/relationships/hyperlink" Target="mailto:https://www.rcc.int/pubs/213/wb6-climate-adaptation-roadmap" TargetMode="External"/><Relationship Id="rId116" Type="http://schemas.openxmlformats.org/officeDocument/2006/relationships/hyperlink" Target="mailto:https://www.bing.com/search?q=Joint+Call+for+Action+on+Gender-Responsive+Green+Finance+and+accompanying+recommendations&amp;cvid=56231d843dc84557a1674f46147c24c6&amp;gs_lcrp=EgRlZGdlKgYIABBFGDsyBggAEEUYOzIGCAEQRRg8MggIAhDpBxj8VTIHCAMQ6wcYQNIBCDQ2NDZqMGo5qAIIsAIB&amp;FORM=ANAB01&amp;PC=LCTS" TargetMode="External"/><Relationship Id="rId20" Type="http://schemas.openxmlformats.org/officeDocument/2006/relationships/hyperlink" Target="mailto:https://www.bing.com/search?q=Joint+Statement+on+the+Development+and+Adoption+of+Regional+Green+Public+Procurement+Criteria+in+the+Western+Balkans+Six&amp;cvid=6ec246dbc1a1471797e55694eebd4d0e&amp;gs_lcrp=EgRlZGdlKgYIABBFGDkyBggAEEUYOTIICAEQ6QcY_FUyBwgCEOsHGEDSAQg0NTc4ajBqOagCCLACAQ&amp;FORM=ANAB01&amp;PC=LCTS" TargetMode="External"/><Relationship Id="rId41" Type="http://schemas.openxmlformats.org/officeDocument/2006/relationships/hyperlink" Target="https://www.rcc.int/securimeter/home" TargetMode="External"/><Relationship Id="rId62" Type="http://schemas.openxmlformats.org/officeDocument/2006/relationships/hyperlink" Target="mailto:https://www.rcc.int/docs/755/joint-statement-on-achieving-western-balkans-six-interoperable-digital-id-wallets-and-trust-services" TargetMode="External"/><Relationship Id="rId83" Type="http://schemas.openxmlformats.org/officeDocument/2006/relationships/hyperlink" Target="https://www.rcc.int/pages/111/south-east-european-cooperation-process--seecp" TargetMode="External"/><Relationship Id="rId88" Type="http://schemas.openxmlformats.org/officeDocument/2006/relationships/hyperlink" Target="https://www.rcc.int/news/994/rcc-hosts-19th-coordination-meeting-of-regional-organisations-in-sarajevo" TargetMode="External"/><Relationship Id="rId111" Type="http://schemas.openxmlformats.org/officeDocument/2006/relationships/hyperlink" Target="mailto:https://www.bing.com/search?q=Sustainable+Foreign+Direct+Investment+Policy+Toolkit+for+the+Western+Balkans+Six&amp;cvid=28b8d7f7a48a47eab89ac09493480447&amp;gs_lcrp=EgRlZGdlKgYIABBFGDkyBggAEEUYOTIICAEQ6QcY_FUyBwgCEOsHGEDSAQg0NTA1ajBqOagCCLACAQ&amp;FORM=ANAB01&amp;PC=LCTS" TargetMode="External"/><Relationship Id="rId15" Type="http://schemas.openxmlformats.org/officeDocument/2006/relationships/hyperlink" Target="mailto:https://www.rcc.int/docs/766/joint-principles-for-investment-facilitation-in-the-western-balkans-six" TargetMode="External"/><Relationship Id="rId36" Type="http://schemas.openxmlformats.org/officeDocument/2006/relationships/hyperlink" Target="https://wb-iisg.com/" TargetMode="External"/><Relationship Id="rId57" Type="http://schemas.openxmlformats.org/officeDocument/2006/relationships/hyperlink" Target="https://www.balkaninnovation.com/news/190/enhancing-knowledge-transfer-in-public-universities-a-gateway-to-collaboration-in-western-balkans-six" TargetMode="External"/><Relationship Id="rId106" Type="http://schemas.openxmlformats.org/officeDocument/2006/relationships/hyperlink" Target="mailto:https://www.rcc.int/docs/759/leaders-declaration-on-the-coordination-and-portability-of-social-security-in-the-western-balkans-six" TargetMode="External"/><Relationship Id="rId10" Type="http://schemas.openxmlformats.org/officeDocument/2006/relationships/footer" Target="footer1.xml"/><Relationship Id="rId31" Type="http://schemas.openxmlformats.org/officeDocument/2006/relationships/hyperlink" Target="mailto:https://www.rcc.int/pubs/215/western-balkans-six-biodiversity-strategic-plan-2030" TargetMode="External"/><Relationship Id="rId52" Type="http://schemas.openxmlformats.org/officeDocument/2006/relationships/hyperlink" Target="https://www.rcc.int/events/1641/2nd-smart-specialisation-strategies-regional-workshop" TargetMode="External"/><Relationship Id="rId73" Type="http://schemas.openxmlformats.org/officeDocument/2006/relationships/hyperlink" Target="mailto:https://www.berlinprocess.de/uploads/documents/regional-joint-statement-on-preventing-plastic-pollution-including-marine-litter-bp-summit-2023_1697614083.pdf" TargetMode="External"/><Relationship Id="rId78" Type="http://schemas.openxmlformats.org/officeDocument/2006/relationships/hyperlink" Target="https://www.rcc.int/docs/777/regional-policy-recommendations-created-by-the-regional-pool-of-experts-at-the-kick-off-event-of-the-youth-policy-lab-on-disinformation-and-media-literacy" TargetMode="External"/><Relationship Id="rId94" Type="http://schemas.openxmlformats.org/officeDocument/2006/relationships/hyperlink" Target="https://www.seecp.info/post/15th-meeting-of-the-heads-of-security-authorities-seensa-convened-in-varna-under-the-sofia-chairm" TargetMode="External"/><Relationship Id="rId99" Type="http://schemas.openxmlformats.org/officeDocument/2006/relationships/hyperlink" Target="https://belgradesecurityconference.org/public-presentation-of-securimeter-2025-report-western-balkans-regional-security-perceptions/" TargetMode="External"/><Relationship Id="rId101" Type="http://schemas.openxmlformats.org/officeDocument/2006/relationships/hyperlink" Target="https://www.rcc.int/news/999/rcc-secretary-general-amer-kapetanovic-at-munich-security-conference-strengthening-security-cooperation-in-south-east-europe" TargetMode="External"/><Relationship Id="rId122" Type="http://schemas.openxmlformats.org/officeDocument/2006/relationships/hyperlink" Target="mailto:https://www.rcc.int/news/964/new-york-rcc-and-undp-seal-cooperation-deal-to-strengthen-reform-agendas-in-south-east-europe"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https://www.rcc.int/docs/754/joint-statement-on-digitally-connected-western-balkans-six" TargetMode="External"/><Relationship Id="rId2" Type="http://schemas.openxmlformats.org/officeDocument/2006/relationships/hyperlink" Target="https://www.balkaninnovation.com/news/190/enhancing-knowledge-transfer-in-public-universities-a-gateway-to-collaboration-in-western-balkans-six" TargetMode="External"/><Relationship Id="rId1" Type="http://schemas.openxmlformats.org/officeDocument/2006/relationships/hyperlink" Target="https://www.rcc.int/events/1641/2nd-smart-specialisation-strategies-regional-workshop" TargetMode="External"/><Relationship Id="rId5" Type="http://schemas.openxmlformats.org/officeDocument/2006/relationships/hyperlink" Target="http://www.esap.online" TargetMode="External"/><Relationship Id="rId4" Type="http://schemas.openxmlformats.org/officeDocument/2006/relationships/hyperlink" Target="mailto:https://www.rcc.int/docs/755/joint-statement-on-achieving-western-balkans-six-interoperable-digital-id-wallets-and-trus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9557-4BA5-4AD4-BED5-7CE0DB59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23486</Words>
  <Characters>133875</Characters>
  <Application>Microsoft Office Word</Application>
  <DocSecurity>0</DocSecurity>
  <Lines>1115</Lines>
  <Paragraphs>314</Paragraphs>
  <ScaleCrop>false</ScaleCrop>
  <Company/>
  <LinksUpToDate>false</LinksUpToDate>
  <CharactersWithSpaces>157047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Ribar-Sarkinovic</dc:creator>
  <cp:keywords/>
  <dc:description/>
  <cp:lastModifiedBy>Maja Ribar-Sarkinovic</cp:lastModifiedBy>
  <cp:revision>2</cp:revision>
  <dcterms:created xsi:type="dcterms:W3CDTF">2026-05-22T11:57:00Z</dcterms:created>
  <dcterms:modified xsi:type="dcterms:W3CDTF">2026-05-22T11:57:00Z</dcterms:modified>
</cp:coreProperties>
</file>