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3BEC8" w14:textId="77777777" w:rsidR="009838A9" w:rsidRPr="00227AD5" w:rsidRDefault="009838A9" w:rsidP="009838A9">
      <w:pPr>
        <w:spacing w:after="200" w:line="276" w:lineRule="auto"/>
        <w:rPr>
          <w:rFonts w:ascii="Calibri" w:eastAsia="Calibri" w:hAnsi="Calibri" w:cs="Times New Roman"/>
          <w:b/>
          <w:color w:val="365F91" w:themeColor="accent1" w:themeShade="BF"/>
          <w:lang w:val="en-GB"/>
        </w:rPr>
      </w:pPr>
      <w:r w:rsidRPr="00227AD5">
        <w:rPr>
          <w:rFonts w:ascii="Calibri" w:eastAsia="Calibri" w:hAnsi="Calibri" w:cs="Times New Roman"/>
          <w:b/>
          <w:color w:val="365F91" w:themeColor="accent1" w:themeShade="BF"/>
          <w:lang w:val="en-GB"/>
        </w:rPr>
        <w:t xml:space="preserve">Programming Guidelines </w:t>
      </w:r>
    </w:p>
    <w:p w14:paraId="768AB188" w14:textId="77777777" w:rsidR="009838A9" w:rsidRPr="00227AD5" w:rsidRDefault="009838A9" w:rsidP="009838A9">
      <w:pPr>
        <w:ind w:left="360"/>
        <w:contextualSpacing/>
        <w:rPr>
          <w:rFonts w:ascii="Calibri" w:eastAsia="Calibri" w:hAnsi="Calibri" w:cs="Times New Roman"/>
          <w:b/>
          <w:bCs/>
          <w:lang w:val="en-GB"/>
        </w:rPr>
      </w:pPr>
    </w:p>
    <w:p w14:paraId="41C9950F" w14:textId="77777777" w:rsidR="009838A9" w:rsidRPr="00227AD5" w:rsidRDefault="009838A9" w:rsidP="009838A9">
      <w:pPr>
        <w:numPr>
          <w:ilvl w:val="0"/>
          <w:numId w:val="1"/>
        </w:numPr>
        <w:spacing w:after="200" w:line="276" w:lineRule="auto"/>
        <w:ind w:left="360"/>
        <w:contextualSpacing/>
        <w:rPr>
          <w:rFonts w:ascii="Calibri" w:eastAsia="Calibri" w:hAnsi="Calibri" w:cs="Times New Roman"/>
          <w:b/>
          <w:bCs/>
          <w:lang w:val="en-GB"/>
        </w:rPr>
      </w:pPr>
      <w:r w:rsidRPr="00227AD5">
        <w:rPr>
          <w:rFonts w:ascii="Calibri" w:eastAsia="Calibri" w:hAnsi="Calibri" w:cs="Times New Roman"/>
          <w:b/>
          <w:bCs/>
          <w:lang w:val="en-GB"/>
        </w:rPr>
        <w:t>Introduction</w:t>
      </w:r>
    </w:p>
    <w:p w14:paraId="6D683497" w14:textId="6BC6D70B" w:rsidR="009838A9" w:rsidRPr="00227AD5" w:rsidRDefault="009838A9" w:rsidP="009838A9">
      <w:pPr>
        <w:jc w:val="both"/>
        <w:rPr>
          <w:rFonts w:ascii="Calibri" w:eastAsia="Calibri" w:hAnsi="Calibri" w:cs="Times New Roman"/>
          <w:lang w:val="en-GB"/>
        </w:rPr>
      </w:pPr>
      <w:r w:rsidRPr="00227AD5">
        <w:rPr>
          <w:rFonts w:ascii="Calibri" w:eastAsia="Calibri" w:hAnsi="Calibri" w:cs="Times New Roman"/>
          <w:lang w:val="en-GB"/>
        </w:rPr>
        <w:t xml:space="preserve">The purpose of these Programming Guidelines is to </w:t>
      </w:r>
      <w:r w:rsidR="00A562BB" w:rsidRPr="00227AD5">
        <w:rPr>
          <w:rFonts w:ascii="Calibri" w:eastAsia="Calibri" w:hAnsi="Calibri" w:cs="Times New Roman"/>
          <w:lang w:val="en-GB"/>
        </w:rPr>
        <w:t>describe</w:t>
      </w:r>
      <w:r w:rsidRPr="00227AD5">
        <w:rPr>
          <w:rFonts w:ascii="Calibri" w:eastAsia="Calibri" w:hAnsi="Calibri" w:cs="Times New Roman"/>
          <w:lang w:val="en-GB"/>
        </w:rPr>
        <w:t xml:space="preserve"> the programming process of the S</w:t>
      </w:r>
      <w:r w:rsidR="00FF755B" w:rsidRPr="00227AD5">
        <w:rPr>
          <w:rFonts w:ascii="Calibri" w:eastAsia="Calibri" w:hAnsi="Calibri" w:cs="Times New Roman"/>
          <w:lang w:val="en-GB"/>
        </w:rPr>
        <w:t>outh East Europe</w:t>
      </w:r>
      <w:r w:rsidRPr="00227AD5">
        <w:rPr>
          <w:rFonts w:ascii="Calibri" w:eastAsia="Calibri" w:hAnsi="Calibri" w:cs="Times New Roman"/>
          <w:lang w:val="en-GB"/>
        </w:rPr>
        <w:t xml:space="preserve"> 2030 Strategy</w:t>
      </w:r>
      <w:r w:rsidR="00FF755B" w:rsidRPr="00227AD5">
        <w:rPr>
          <w:rFonts w:ascii="Calibri" w:eastAsia="Calibri" w:hAnsi="Calibri" w:cs="Times New Roman"/>
          <w:lang w:val="en-GB"/>
        </w:rPr>
        <w:t xml:space="preserve"> (SEE 2030)</w:t>
      </w:r>
      <w:r w:rsidRPr="00227AD5">
        <w:rPr>
          <w:rFonts w:ascii="Calibri" w:eastAsia="Calibri" w:hAnsi="Calibri" w:cs="Times New Roman"/>
          <w:lang w:val="en-GB"/>
        </w:rPr>
        <w:t>, define the methodology for identification and prioritisation of interventions</w:t>
      </w:r>
      <w:r w:rsidR="00C1075E" w:rsidRPr="00227AD5">
        <w:rPr>
          <w:rFonts w:ascii="Calibri" w:eastAsia="Calibri" w:hAnsi="Calibri" w:cs="Times New Roman"/>
          <w:lang w:val="en-GB"/>
        </w:rPr>
        <w:t>,</w:t>
      </w:r>
      <w:r w:rsidRPr="00227AD5">
        <w:rPr>
          <w:rFonts w:ascii="Calibri" w:eastAsia="Calibri" w:hAnsi="Calibri" w:cs="Times New Roman"/>
          <w:lang w:val="en-GB"/>
        </w:rPr>
        <w:t xml:space="preserve"> and outline roles and responsibilities of the programming stakeholders in the SEE 2030 Strategy context.</w:t>
      </w:r>
    </w:p>
    <w:p w14:paraId="51B68462" w14:textId="69F25588" w:rsidR="009838A9" w:rsidRPr="00227AD5" w:rsidRDefault="00C1075E" w:rsidP="009838A9">
      <w:pPr>
        <w:suppressAutoHyphens/>
        <w:spacing w:after="120" w:line="276" w:lineRule="auto"/>
        <w:jc w:val="both"/>
        <w:rPr>
          <w:rFonts w:ascii="Calibri" w:eastAsia="Times New Roman" w:hAnsi="Calibri" w:cs="Times New Roman"/>
          <w:lang w:val="en-GB"/>
        </w:rPr>
      </w:pPr>
      <w:r w:rsidRPr="00227AD5">
        <w:rPr>
          <w:rFonts w:ascii="Calibri" w:eastAsia="Times New Roman" w:hAnsi="Calibri" w:cs="Times New Roman"/>
          <w:lang w:val="en-GB"/>
        </w:rPr>
        <w:t>The p</w:t>
      </w:r>
      <w:r w:rsidR="009838A9" w:rsidRPr="00227AD5">
        <w:rPr>
          <w:rFonts w:ascii="Calibri" w:eastAsia="Times New Roman" w:hAnsi="Calibri" w:cs="Times New Roman"/>
          <w:lang w:val="en-GB"/>
        </w:rPr>
        <w:t xml:space="preserve">rogramming process </w:t>
      </w:r>
      <w:r w:rsidRPr="00227AD5">
        <w:rPr>
          <w:rFonts w:ascii="Calibri" w:eastAsia="Times New Roman" w:hAnsi="Calibri" w:cs="Times New Roman"/>
          <w:lang w:val="en-GB"/>
        </w:rPr>
        <w:t>is a</w:t>
      </w:r>
      <w:r w:rsidR="009838A9" w:rsidRPr="00227AD5">
        <w:rPr>
          <w:rFonts w:ascii="Calibri" w:eastAsia="Times New Roman" w:hAnsi="Calibri" w:cs="Times New Roman"/>
          <w:lang w:val="en-GB"/>
        </w:rPr>
        <w:t xml:space="preserve"> link between the SEE 2030 Strategy, as the basis for intervention, and the actual implementation. </w:t>
      </w:r>
      <w:r w:rsidR="006F034F" w:rsidRPr="00227AD5">
        <w:rPr>
          <w:rFonts w:ascii="Calibri" w:eastAsia="Times New Roman" w:hAnsi="Calibri" w:cs="Times New Roman"/>
          <w:lang w:val="en-GB"/>
        </w:rPr>
        <w:t>The</w:t>
      </w:r>
      <w:r w:rsidR="009838A9" w:rsidRPr="00227AD5">
        <w:rPr>
          <w:rFonts w:ascii="Calibri" w:eastAsia="Times New Roman" w:hAnsi="Calibri" w:cs="Times New Roman"/>
          <w:lang w:val="en-GB"/>
        </w:rPr>
        <w:t xml:space="preserve"> programming cycle</w:t>
      </w:r>
      <w:r w:rsidR="006F034F" w:rsidRPr="00227AD5">
        <w:rPr>
          <w:rFonts w:ascii="Calibri" w:eastAsia="Times New Roman" w:hAnsi="Calibri" w:cs="Times New Roman"/>
          <w:lang w:val="en-GB"/>
        </w:rPr>
        <w:t>s</w:t>
      </w:r>
      <w:r w:rsidR="003820CA" w:rsidRPr="00227AD5">
        <w:rPr>
          <w:rFonts w:ascii="Calibri" w:eastAsia="Times New Roman" w:hAnsi="Calibri" w:cs="Times New Roman"/>
          <w:lang w:val="en-GB"/>
        </w:rPr>
        <w:t xml:space="preserve"> should</w:t>
      </w:r>
      <w:r w:rsidR="009838A9" w:rsidRPr="00227AD5">
        <w:rPr>
          <w:rFonts w:ascii="Calibri" w:eastAsia="Times New Roman" w:hAnsi="Calibri" w:cs="Times New Roman"/>
          <w:lang w:val="en-GB"/>
        </w:rPr>
        <w:t xml:space="preserve"> last </w:t>
      </w:r>
      <w:r w:rsidR="006F034F" w:rsidRPr="00227AD5">
        <w:rPr>
          <w:rFonts w:ascii="Calibri" w:eastAsia="Times New Roman" w:hAnsi="Calibri" w:cs="Times New Roman"/>
          <w:lang w:val="en-GB"/>
        </w:rPr>
        <w:t xml:space="preserve">for </w:t>
      </w:r>
      <w:r w:rsidR="009838A9" w:rsidRPr="00227AD5">
        <w:rPr>
          <w:rFonts w:ascii="Calibri" w:eastAsia="Times New Roman" w:hAnsi="Calibri" w:cs="Times New Roman"/>
          <w:lang w:val="en-GB"/>
        </w:rPr>
        <w:t>two years</w:t>
      </w:r>
      <w:r w:rsidR="003820CA" w:rsidRPr="00227AD5">
        <w:rPr>
          <w:rFonts w:ascii="Calibri" w:eastAsia="Times New Roman" w:hAnsi="Calibri" w:cs="Times New Roman"/>
          <w:lang w:val="en-GB"/>
        </w:rPr>
        <w:t>, with</w:t>
      </w:r>
      <w:r w:rsidR="009838A9" w:rsidRPr="00227AD5">
        <w:rPr>
          <w:rFonts w:ascii="Calibri" w:eastAsia="Times New Roman" w:hAnsi="Calibri" w:cs="Times New Roman"/>
          <w:lang w:val="en-GB"/>
        </w:rPr>
        <w:t xml:space="preserve"> </w:t>
      </w:r>
      <w:r w:rsidR="003820CA" w:rsidRPr="00227AD5">
        <w:rPr>
          <w:rFonts w:ascii="Calibri" w:eastAsia="Times New Roman" w:hAnsi="Calibri" w:cs="Times New Roman"/>
          <w:lang w:val="en-GB"/>
        </w:rPr>
        <w:t xml:space="preserve">the </w:t>
      </w:r>
      <w:r w:rsidR="009838A9" w:rsidRPr="00227AD5">
        <w:rPr>
          <w:rFonts w:ascii="Calibri" w:eastAsia="Times New Roman" w:hAnsi="Calibri" w:cs="Times New Roman"/>
          <w:lang w:val="en-GB"/>
        </w:rPr>
        <w:t xml:space="preserve">new cycle </w:t>
      </w:r>
      <w:r w:rsidR="003820CA" w:rsidRPr="00227AD5">
        <w:rPr>
          <w:rFonts w:ascii="Calibri" w:eastAsia="Times New Roman" w:hAnsi="Calibri" w:cs="Times New Roman"/>
          <w:lang w:val="en-GB"/>
        </w:rPr>
        <w:t>beginning</w:t>
      </w:r>
      <w:r w:rsidR="009838A9" w:rsidRPr="00227AD5">
        <w:rPr>
          <w:rFonts w:ascii="Calibri" w:eastAsia="Times New Roman" w:hAnsi="Calibri" w:cs="Times New Roman"/>
          <w:lang w:val="en-GB"/>
        </w:rPr>
        <w:t xml:space="preserve"> after e</w:t>
      </w:r>
      <w:r w:rsidR="003820CA" w:rsidRPr="00227AD5">
        <w:rPr>
          <w:rFonts w:ascii="Calibri" w:eastAsia="Times New Roman" w:hAnsi="Calibri" w:cs="Times New Roman"/>
          <w:lang w:val="en-GB"/>
        </w:rPr>
        <w:t>very</w:t>
      </w:r>
      <w:r w:rsidR="009838A9" w:rsidRPr="00227AD5">
        <w:rPr>
          <w:rFonts w:ascii="Calibri" w:eastAsia="Times New Roman" w:hAnsi="Calibri" w:cs="Times New Roman"/>
          <w:lang w:val="en-GB"/>
        </w:rPr>
        <w:t xml:space="preserve"> biannual update. Each biannual programming cycle will result in regional projects to convert the priorities and objectives of the SEE 2030 Strategy into tangible regional, plurilateral or bilateral actions. The </w:t>
      </w:r>
      <w:r w:rsidR="006F034F" w:rsidRPr="00227AD5">
        <w:rPr>
          <w:rFonts w:ascii="Calibri" w:eastAsia="Times New Roman" w:hAnsi="Calibri" w:cs="Times New Roman"/>
          <w:lang w:val="en-GB"/>
        </w:rPr>
        <w:t>P</w:t>
      </w:r>
      <w:r w:rsidR="009838A9" w:rsidRPr="00227AD5">
        <w:rPr>
          <w:rFonts w:ascii="Calibri" w:eastAsia="Times New Roman" w:hAnsi="Calibri" w:cs="Times New Roman"/>
          <w:lang w:val="en-GB"/>
        </w:rPr>
        <w:t xml:space="preserve">rogramming </w:t>
      </w:r>
      <w:r w:rsidR="006F034F" w:rsidRPr="00227AD5">
        <w:rPr>
          <w:rFonts w:ascii="Calibri" w:eastAsia="Times New Roman" w:hAnsi="Calibri" w:cs="Times New Roman"/>
          <w:lang w:val="en-GB"/>
        </w:rPr>
        <w:t>G</w:t>
      </w:r>
      <w:r w:rsidR="009838A9" w:rsidRPr="00227AD5">
        <w:rPr>
          <w:rFonts w:ascii="Calibri" w:eastAsia="Times New Roman" w:hAnsi="Calibri" w:cs="Times New Roman"/>
          <w:lang w:val="en-GB"/>
        </w:rPr>
        <w:t>uidelines will be applicable for the entire period of SEE 2030 implementation, starting in November 2021</w:t>
      </w:r>
      <w:r w:rsidR="006F034F" w:rsidRPr="00227AD5">
        <w:rPr>
          <w:rFonts w:ascii="Calibri" w:eastAsia="Times New Roman" w:hAnsi="Calibri" w:cs="Times New Roman"/>
          <w:lang w:val="en-GB"/>
        </w:rPr>
        <w:t>,</w:t>
      </w:r>
      <w:r w:rsidR="009838A9" w:rsidRPr="00227AD5">
        <w:rPr>
          <w:rFonts w:ascii="Calibri" w:eastAsia="Times New Roman" w:hAnsi="Calibri" w:cs="Times New Roman"/>
          <w:lang w:val="en-GB"/>
        </w:rPr>
        <w:t xml:space="preserve"> and will be updated whenever necessary to reflect any changes in the </w:t>
      </w:r>
      <w:r w:rsidR="006F034F" w:rsidRPr="00227AD5">
        <w:rPr>
          <w:rFonts w:ascii="Calibri" w:eastAsia="Times New Roman" w:hAnsi="Calibri" w:cs="Times New Roman"/>
          <w:lang w:val="en-GB"/>
        </w:rPr>
        <w:t xml:space="preserve">Strategy </w:t>
      </w:r>
      <w:r w:rsidR="009838A9" w:rsidRPr="00227AD5">
        <w:rPr>
          <w:rFonts w:ascii="Calibri" w:eastAsia="Times New Roman" w:hAnsi="Calibri" w:cs="Times New Roman"/>
          <w:lang w:val="en-GB"/>
        </w:rPr>
        <w:t xml:space="preserve">priorities following its regular biannual updates. </w:t>
      </w:r>
    </w:p>
    <w:p w14:paraId="6201836F" w14:textId="1F52BC59" w:rsidR="009838A9" w:rsidRPr="00227AD5" w:rsidRDefault="009838A9" w:rsidP="009838A9">
      <w:pPr>
        <w:suppressAutoHyphens/>
        <w:spacing w:after="120" w:line="276" w:lineRule="auto"/>
        <w:jc w:val="both"/>
        <w:rPr>
          <w:rFonts w:ascii="Calibri" w:eastAsia="Times New Roman" w:hAnsi="Calibri" w:cs="Times New Roman"/>
          <w:lang w:val="en-GB"/>
        </w:rPr>
      </w:pPr>
      <w:r w:rsidRPr="00227AD5">
        <w:rPr>
          <w:rFonts w:ascii="Calibri" w:eastAsia="Times New Roman" w:hAnsi="Calibri" w:cs="Times New Roman"/>
          <w:lang w:val="en-GB"/>
        </w:rPr>
        <w:t xml:space="preserve">The overall programming process will be carried out in partnership between the Regional Cooperation Council (RCC) Secretariat and the </w:t>
      </w:r>
      <w:r w:rsidR="001F03D4" w:rsidRPr="00227AD5">
        <w:rPr>
          <w:rFonts w:ascii="Calibri" w:eastAsia="Times New Roman" w:hAnsi="Calibri" w:cs="Times New Roman"/>
          <w:lang w:val="en-GB"/>
        </w:rPr>
        <w:t>South East European Cooperation Process (</w:t>
      </w:r>
      <w:r w:rsidRPr="00227AD5">
        <w:rPr>
          <w:rFonts w:ascii="Calibri" w:eastAsia="Times New Roman" w:hAnsi="Calibri" w:cs="Times New Roman"/>
          <w:lang w:val="en-GB"/>
        </w:rPr>
        <w:t>SEECP</w:t>
      </w:r>
      <w:r w:rsidR="001F03D4" w:rsidRPr="00227AD5">
        <w:rPr>
          <w:rFonts w:ascii="Calibri" w:eastAsia="Times New Roman" w:hAnsi="Calibri" w:cs="Times New Roman"/>
          <w:lang w:val="en-GB"/>
        </w:rPr>
        <w:t>)</w:t>
      </w:r>
      <w:r w:rsidRPr="00227AD5">
        <w:rPr>
          <w:rFonts w:ascii="Calibri" w:eastAsia="Times New Roman" w:hAnsi="Calibri" w:cs="Times New Roman"/>
          <w:lang w:val="en-GB"/>
        </w:rPr>
        <w:t xml:space="preserve"> </w:t>
      </w:r>
      <w:r w:rsidR="001F03D4" w:rsidRPr="00227AD5">
        <w:rPr>
          <w:rFonts w:ascii="Calibri" w:eastAsia="Times New Roman" w:hAnsi="Calibri" w:cs="Times New Roman"/>
          <w:lang w:val="en-GB"/>
        </w:rPr>
        <w:t>p</w:t>
      </w:r>
      <w:r w:rsidRPr="00227AD5">
        <w:rPr>
          <w:rFonts w:ascii="Calibri" w:eastAsia="Times New Roman" w:hAnsi="Calibri" w:cs="Times New Roman"/>
          <w:lang w:val="en-GB"/>
        </w:rPr>
        <w:t>articipants represented by National SEE 2030 Co</w:t>
      </w:r>
      <w:r w:rsidR="001F03D4" w:rsidRPr="00227AD5">
        <w:rPr>
          <w:rFonts w:ascii="Calibri" w:eastAsia="Times New Roman" w:hAnsi="Calibri" w:cs="Times New Roman"/>
          <w:lang w:val="en-GB"/>
        </w:rPr>
        <w:t>-</w:t>
      </w:r>
      <w:r w:rsidRPr="00227AD5">
        <w:rPr>
          <w:rFonts w:ascii="Calibri" w:eastAsia="Times New Roman" w:hAnsi="Calibri" w:cs="Times New Roman"/>
          <w:lang w:val="en-GB"/>
        </w:rPr>
        <w:t xml:space="preserve">ordinators and, where appropriate, line ministries and agencies of </w:t>
      </w:r>
      <w:r w:rsidR="001F03D4" w:rsidRPr="00227AD5">
        <w:rPr>
          <w:rFonts w:ascii="Calibri" w:eastAsia="Times New Roman" w:hAnsi="Calibri" w:cs="Times New Roman"/>
          <w:lang w:val="en-GB"/>
        </w:rPr>
        <w:t>the p</w:t>
      </w:r>
      <w:r w:rsidRPr="00227AD5">
        <w:rPr>
          <w:rFonts w:ascii="Calibri" w:eastAsia="Times New Roman" w:hAnsi="Calibri" w:cs="Times New Roman"/>
          <w:lang w:val="en-GB"/>
        </w:rPr>
        <w:t xml:space="preserve">articipants, and other regional organisations in </w:t>
      </w:r>
      <w:r w:rsidR="001F03D4" w:rsidRPr="00227AD5">
        <w:rPr>
          <w:rFonts w:ascii="Calibri" w:eastAsia="Times New Roman" w:hAnsi="Calibri" w:cs="Times New Roman"/>
          <w:lang w:val="en-GB"/>
        </w:rPr>
        <w:t>South East Europe (</w:t>
      </w:r>
      <w:r w:rsidRPr="00227AD5">
        <w:rPr>
          <w:rFonts w:ascii="Calibri" w:eastAsia="Times New Roman" w:hAnsi="Calibri" w:cs="Times New Roman"/>
          <w:lang w:val="en-GB"/>
        </w:rPr>
        <w:t>SEE</w:t>
      </w:r>
      <w:r w:rsidR="001F03D4" w:rsidRPr="00227AD5">
        <w:rPr>
          <w:rFonts w:ascii="Calibri" w:eastAsia="Times New Roman" w:hAnsi="Calibri" w:cs="Times New Roman"/>
          <w:lang w:val="en-GB"/>
        </w:rPr>
        <w:t>)</w:t>
      </w:r>
      <w:r w:rsidRPr="00227AD5">
        <w:rPr>
          <w:rFonts w:ascii="Calibri" w:eastAsia="Times New Roman" w:hAnsi="Calibri" w:cs="Times New Roman"/>
          <w:lang w:val="en-GB"/>
        </w:rPr>
        <w:t>. SEE 2030 programming will put in place a consultative process in which all relevant perspectives should be heard and reflected in the resulting regional actions. An elaborate co</w:t>
      </w:r>
      <w:r w:rsidR="007441F7" w:rsidRPr="00227AD5">
        <w:rPr>
          <w:rFonts w:ascii="Calibri" w:eastAsia="Times New Roman" w:hAnsi="Calibri" w:cs="Times New Roman"/>
          <w:lang w:val="en-GB"/>
        </w:rPr>
        <w:t>-</w:t>
      </w:r>
      <w:r w:rsidRPr="00227AD5">
        <w:rPr>
          <w:rFonts w:ascii="Calibri" w:eastAsia="Times New Roman" w:hAnsi="Calibri" w:cs="Times New Roman"/>
          <w:lang w:val="en-GB"/>
        </w:rPr>
        <w:t>ordination system is established to enable the flow of information between the RCC, National Co</w:t>
      </w:r>
      <w:r w:rsidR="007441F7" w:rsidRPr="00227AD5">
        <w:rPr>
          <w:rFonts w:ascii="Calibri" w:eastAsia="Times New Roman" w:hAnsi="Calibri" w:cs="Times New Roman"/>
          <w:lang w:val="en-GB"/>
        </w:rPr>
        <w:t>-</w:t>
      </w:r>
      <w:r w:rsidRPr="00227AD5">
        <w:rPr>
          <w:rFonts w:ascii="Calibri" w:eastAsia="Times New Roman" w:hAnsi="Calibri" w:cs="Times New Roman"/>
          <w:lang w:val="en-GB"/>
        </w:rPr>
        <w:t xml:space="preserve">ordinators, private sector, civil society, academia, international and regional organisations, donor community and other stakeholders who play a critical role in ensuring sound programming and success in implementation. The SEE 2030 Strategy Monitoring Committee’s approval is required to determine the selection criteria to identify the counterparts in multi-stakeholder dialogue mechanisms </w:t>
      </w:r>
      <w:r w:rsidR="007441F7" w:rsidRPr="00227AD5">
        <w:rPr>
          <w:rFonts w:ascii="Calibri" w:eastAsia="Times New Roman" w:hAnsi="Calibri" w:cs="Times New Roman"/>
          <w:lang w:val="en-GB"/>
        </w:rPr>
        <w:t>provided for</w:t>
      </w:r>
      <w:r w:rsidRPr="00227AD5">
        <w:rPr>
          <w:rFonts w:ascii="Calibri" w:eastAsia="Times New Roman" w:hAnsi="Calibri" w:cs="Times New Roman"/>
          <w:lang w:val="en-GB"/>
        </w:rPr>
        <w:t xml:space="preserve"> by the SEE 2030 Strategy. </w:t>
      </w:r>
      <w:r w:rsidR="00CD692D" w:rsidRPr="00227AD5">
        <w:rPr>
          <w:rFonts w:ascii="Calibri" w:eastAsia="Times New Roman" w:hAnsi="Calibri" w:cs="Times New Roman"/>
          <w:lang w:val="en-GB"/>
        </w:rPr>
        <w:t xml:space="preserve">The </w:t>
      </w:r>
      <w:r w:rsidRPr="00227AD5">
        <w:rPr>
          <w:rFonts w:ascii="Calibri" w:eastAsia="Times New Roman" w:hAnsi="Calibri" w:cs="Times New Roman"/>
          <w:lang w:val="en-GB"/>
        </w:rPr>
        <w:t>National Co</w:t>
      </w:r>
      <w:r w:rsidR="00CD692D" w:rsidRPr="00227AD5">
        <w:rPr>
          <w:rFonts w:ascii="Calibri" w:eastAsia="Times New Roman" w:hAnsi="Calibri" w:cs="Times New Roman"/>
          <w:lang w:val="en-GB"/>
        </w:rPr>
        <w:t>-</w:t>
      </w:r>
      <w:r w:rsidRPr="00227AD5">
        <w:rPr>
          <w:rFonts w:ascii="Calibri" w:eastAsia="Times New Roman" w:hAnsi="Calibri" w:cs="Times New Roman"/>
          <w:lang w:val="en-GB"/>
        </w:rPr>
        <w:t xml:space="preserve">ordinators and their </w:t>
      </w:r>
      <w:r w:rsidR="00CD692D" w:rsidRPr="00227AD5">
        <w:rPr>
          <w:rFonts w:ascii="Calibri" w:eastAsia="Times New Roman" w:hAnsi="Calibri" w:cs="Times New Roman"/>
          <w:lang w:val="en-GB"/>
        </w:rPr>
        <w:t xml:space="preserve">respective </w:t>
      </w:r>
      <w:r w:rsidRPr="00227AD5">
        <w:rPr>
          <w:rFonts w:ascii="Calibri" w:eastAsia="Times New Roman" w:hAnsi="Calibri" w:cs="Times New Roman"/>
          <w:lang w:val="en-GB"/>
        </w:rPr>
        <w:t>offices are involved throughout the process to ensure complementarity between national and regional strategies and provide a feedback loop with the on-going economy-level implementation of</w:t>
      </w:r>
      <w:r w:rsidR="00EC62E5" w:rsidRPr="00227AD5">
        <w:rPr>
          <w:rFonts w:ascii="Calibri" w:eastAsia="Times New Roman" w:hAnsi="Calibri" w:cs="Times New Roman"/>
          <w:lang w:val="en-GB"/>
        </w:rPr>
        <w:t xml:space="preserve"> the United Nations</w:t>
      </w:r>
      <w:r w:rsidR="00294375" w:rsidRPr="00227AD5">
        <w:rPr>
          <w:rFonts w:ascii="Calibri" w:eastAsia="Times New Roman" w:hAnsi="Calibri" w:cs="Times New Roman"/>
          <w:lang w:val="en-GB"/>
        </w:rPr>
        <w:t xml:space="preserve"> (UN)</w:t>
      </w:r>
      <w:r w:rsidR="00EC62E5" w:rsidRPr="00227AD5">
        <w:rPr>
          <w:rFonts w:ascii="Calibri" w:eastAsia="Times New Roman" w:hAnsi="Calibri" w:cs="Times New Roman"/>
          <w:lang w:val="en-GB"/>
        </w:rPr>
        <w:t xml:space="preserve"> Sustainable Development Goals (</w:t>
      </w:r>
      <w:r w:rsidRPr="00227AD5">
        <w:rPr>
          <w:rFonts w:ascii="Calibri" w:eastAsia="Times New Roman" w:hAnsi="Calibri" w:cs="Times New Roman"/>
          <w:lang w:val="en-GB"/>
        </w:rPr>
        <w:t>SDGs</w:t>
      </w:r>
      <w:r w:rsidR="00EC62E5" w:rsidRPr="00227AD5">
        <w:rPr>
          <w:rFonts w:ascii="Calibri" w:eastAsia="Times New Roman" w:hAnsi="Calibri" w:cs="Times New Roman"/>
          <w:lang w:val="en-GB"/>
        </w:rPr>
        <w:t>)</w:t>
      </w:r>
      <w:r w:rsidRPr="00227AD5">
        <w:rPr>
          <w:rFonts w:ascii="Calibri" w:eastAsia="Times New Roman" w:hAnsi="Calibri" w:cs="Times New Roman"/>
          <w:lang w:val="en-GB"/>
        </w:rPr>
        <w:t xml:space="preserve"> and the Agenda 2030 with bilateral donors and social partners</w:t>
      </w:r>
      <w:r w:rsidR="00CF2931" w:rsidRPr="00227AD5">
        <w:rPr>
          <w:rFonts w:ascii="Calibri" w:eastAsia="Times New Roman" w:hAnsi="Calibri" w:cs="Times New Roman"/>
          <w:lang w:val="en-GB"/>
        </w:rPr>
        <w:t xml:space="preserve"> </w:t>
      </w:r>
      <w:r w:rsidRPr="00227AD5">
        <w:rPr>
          <w:rFonts w:ascii="Calibri" w:eastAsia="Times New Roman" w:hAnsi="Calibri" w:cs="Times New Roman"/>
          <w:lang w:val="en-GB"/>
        </w:rPr>
        <w:t>/</w:t>
      </w:r>
      <w:r w:rsidR="00CF2931" w:rsidRPr="00227AD5">
        <w:rPr>
          <w:rFonts w:ascii="Calibri" w:eastAsia="Times New Roman" w:hAnsi="Calibri" w:cs="Times New Roman"/>
          <w:lang w:val="en-GB"/>
        </w:rPr>
        <w:t xml:space="preserve"> </w:t>
      </w:r>
      <w:r w:rsidRPr="00227AD5">
        <w:rPr>
          <w:rFonts w:ascii="Calibri" w:eastAsia="Times New Roman" w:hAnsi="Calibri" w:cs="Times New Roman"/>
          <w:lang w:val="en-GB"/>
        </w:rPr>
        <w:t>stakeholders.</w:t>
      </w:r>
    </w:p>
    <w:p w14:paraId="6F1C1F60" w14:textId="54D000AD" w:rsidR="009838A9" w:rsidRPr="00227AD5" w:rsidRDefault="009838A9" w:rsidP="009838A9">
      <w:pPr>
        <w:suppressAutoHyphens/>
        <w:spacing w:after="120" w:line="276" w:lineRule="auto"/>
        <w:jc w:val="both"/>
        <w:rPr>
          <w:rFonts w:ascii="Calibri" w:eastAsia="Times New Roman" w:hAnsi="Calibri" w:cs="Times New Roman"/>
          <w:lang w:val="en-GB"/>
        </w:rPr>
      </w:pPr>
      <w:r w:rsidRPr="00227AD5">
        <w:rPr>
          <w:rFonts w:ascii="Calibri" w:eastAsia="Times New Roman" w:hAnsi="Calibri" w:cs="Times New Roman"/>
          <w:lang w:val="en-GB"/>
        </w:rPr>
        <w:t>The overall facilitation of the programming process will be the responsibility of the RCC, while the SEE 2030 Strategy Monitoring Committee, composed of National Co</w:t>
      </w:r>
      <w:r w:rsidR="00CF2931" w:rsidRPr="00227AD5">
        <w:rPr>
          <w:rFonts w:ascii="Calibri" w:eastAsia="Times New Roman" w:hAnsi="Calibri" w:cs="Times New Roman"/>
          <w:lang w:val="en-GB"/>
        </w:rPr>
        <w:t>-</w:t>
      </w:r>
      <w:r w:rsidRPr="00227AD5">
        <w:rPr>
          <w:rFonts w:ascii="Calibri" w:eastAsia="Times New Roman" w:hAnsi="Calibri" w:cs="Times New Roman"/>
          <w:lang w:val="en-GB"/>
        </w:rPr>
        <w:t xml:space="preserve">ordinators and other two delegates representing each SEECP </w:t>
      </w:r>
      <w:r w:rsidR="00CF2931" w:rsidRPr="00227AD5">
        <w:rPr>
          <w:rFonts w:ascii="Calibri" w:eastAsia="Times New Roman" w:hAnsi="Calibri" w:cs="Times New Roman"/>
          <w:lang w:val="en-GB"/>
        </w:rPr>
        <w:t>p</w:t>
      </w:r>
      <w:r w:rsidRPr="00227AD5">
        <w:rPr>
          <w:rFonts w:ascii="Calibri" w:eastAsia="Times New Roman" w:hAnsi="Calibri" w:cs="Times New Roman"/>
          <w:lang w:val="en-GB"/>
        </w:rPr>
        <w:t xml:space="preserve">articipant as described by the Strategy, </w:t>
      </w:r>
      <w:r w:rsidR="00CF2931" w:rsidRPr="00227AD5">
        <w:rPr>
          <w:rFonts w:ascii="Calibri" w:eastAsia="Times New Roman" w:hAnsi="Calibri" w:cs="Times New Roman"/>
          <w:lang w:val="en-GB"/>
        </w:rPr>
        <w:t xml:space="preserve">will </w:t>
      </w:r>
      <w:r w:rsidRPr="00227AD5">
        <w:rPr>
          <w:rFonts w:ascii="Calibri" w:eastAsia="Times New Roman" w:hAnsi="Calibri" w:cs="Times New Roman"/>
          <w:lang w:val="en-GB"/>
        </w:rPr>
        <w:t>oversee and guide the process. The RCC Secretariat has the direct duty to ensure that all relevant stakeholders are included in</w:t>
      </w:r>
      <w:r w:rsidR="00CF2931" w:rsidRPr="00227AD5">
        <w:rPr>
          <w:rFonts w:ascii="Calibri" w:eastAsia="Times New Roman" w:hAnsi="Calibri" w:cs="Times New Roman"/>
          <w:lang w:val="en-GB"/>
        </w:rPr>
        <w:t xml:space="preserve"> </w:t>
      </w:r>
      <w:r w:rsidRPr="00227AD5">
        <w:rPr>
          <w:rFonts w:ascii="Calibri" w:eastAsia="Times New Roman" w:hAnsi="Calibri" w:cs="Times New Roman"/>
          <w:lang w:val="en-GB"/>
        </w:rPr>
        <w:t>the process and kept regularly informed about the progress</w:t>
      </w:r>
      <w:r w:rsidR="00A15311" w:rsidRPr="00227AD5">
        <w:rPr>
          <w:rFonts w:ascii="Calibri" w:eastAsia="Times New Roman" w:hAnsi="Calibri" w:cs="Times New Roman"/>
          <w:lang w:val="en-GB"/>
        </w:rPr>
        <w:t xml:space="preserve">, and that </w:t>
      </w:r>
      <w:r w:rsidRPr="00227AD5">
        <w:rPr>
          <w:rFonts w:ascii="Calibri" w:eastAsia="Times New Roman" w:hAnsi="Calibri" w:cs="Times New Roman"/>
          <w:lang w:val="en-GB"/>
        </w:rPr>
        <w:t xml:space="preserve">all </w:t>
      </w:r>
      <w:r w:rsidR="00A15311" w:rsidRPr="00227AD5">
        <w:rPr>
          <w:rFonts w:ascii="Calibri" w:eastAsia="Times New Roman" w:hAnsi="Calibri" w:cs="Times New Roman"/>
          <w:lang w:val="en-GB"/>
        </w:rPr>
        <w:t xml:space="preserve">necessary </w:t>
      </w:r>
      <w:r w:rsidRPr="00227AD5">
        <w:rPr>
          <w:rFonts w:ascii="Calibri" w:eastAsia="Times New Roman" w:hAnsi="Calibri" w:cs="Times New Roman"/>
          <w:lang w:val="en-GB"/>
        </w:rPr>
        <w:t>steps are taken prior to the final approval of regional actions. The RCC Secretariat will help co</w:t>
      </w:r>
      <w:r w:rsidR="005D3E97" w:rsidRPr="00227AD5">
        <w:rPr>
          <w:rFonts w:ascii="Calibri" w:eastAsia="Times New Roman" w:hAnsi="Calibri" w:cs="Times New Roman"/>
          <w:lang w:val="en-GB"/>
        </w:rPr>
        <w:t>-</w:t>
      </w:r>
      <w:r w:rsidRPr="00227AD5">
        <w:rPr>
          <w:rFonts w:ascii="Calibri" w:eastAsia="Times New Roman" w:hAnsi="Calibri" w:cs="Times New Roman"/>
          <w:lang w:val="en-GB"/>
        </w:rPr>
        <w:t xml:space="preserve">ordinate the process of raising funds for the prioritised regional actions, as multiple sources of funding are envisioned, including national budgets, statutory budget of the RCC, multilateral and bilateral donors, private sector, and international organisations and financial institutions. </w:t>
      </w:r>
    </w:p>
    <w:p w14:paraId="24EC8EDA" w14:textId="77777777" w:rsidR="009838A9" w:rsidRPr="00227AD5" w:rsidRDefault="009838A9" w:rsidP="009838A9">
      <w:pPr>
        <w:suppressAutoHyphens/>
        <w:spacing w:after="120" w:line="276" w:lineRule="auto"/>
        <w:jc w:val="both"/>
        <w:rPr>
          <w:rFonts w:ascii="Calibri" w:eastAsia="Times New Roman" w:hAnsi="Calibri" w:cs="Times New Roman"/>
          <w:lang w:val="en-GB"/>
        </w:rPr>
      </w:pPr>
      <w:r w:rsidRPr="00227AD5">
        <w:rPr>
          <w:rFonts w:ascii="Calibri" w:eastAsia="Times New Roman" w:hAnsi="Calibri" w:cs="Times New Roman"/>
          <w:lang w:val="en-GB"/>
        </w:rPr>
        <w:t>This document is to describe the main programming cycles and to propose a set of selection and eligibility criteria for prioritising regional actions, including the forms that these actions can take.</w:t>
      </w:r>
    </w:p>
    <w:p w14:paraId="2231071B" w14:textId="1EEB9A6A" w:rsidR="009838A9" w:rsidRPr="00227AD5" w:rsidRDefault="009838A9" w:rsidP="009838A9">
      <w:pPr>
        <w:suppressAutoHyphens/>
        <w:spacing w:after="120" w:line="276" w:lineRule="auto"/>
        <w:jc w:val="both"/>
        <w:rPr>
          <w:rFonts w:ascii="Calibri" w:eastAsia="Times New Roman" w:hAnsi="Calibri" w:cs="Times New Roman"/>
          <w:sz w:val="20"/>
          <w:szCs w:val="20"/>
          <w:highlight w:val="yellow"/>
          <w:lang w:val="en-GB"/>
        </w:rPr>
      </w:pPr>
      <w:r w:rsidRPr="00227AD5">
        <w:rPr>
          <w:rFonts w:ascii="Calibri" w:eastAsia="Times New Roman" w:hAnsi="Calibri" w:cs="Times New Roman"/>
          <w:lang w:val="en-GB"/>
        </w:rPr>
        <w:lastRenderedPageBreak/>
        <w:t>In this context, it needs to be highlighted that the main objective of the SEE 2030 programming is to assist the governments of S</w:t>
      </w:r>
      <w:r w:rsidR="005D3E97" w:rsidRPr="00227AD5">
        <w:rPr>
          <w:rFonts w:ascii="Calibri" w:eastAsia="Times New Roman" w:hAnsi="Calibri" w:cs="Times New Roman"/>
          <w:lang w:val="en-GB"/>
        </w:rPr>
        <w:t>EE</w:t>
      </w:r>
      <w:r w:rsidRPr="00227AD5">
        <w:rPr>
          <w:rFonts w:ascii="Calibri" w:eastAsia="Times New Roman" w:hAnsi="Calibri" w:cs="Times New Roman"/>
          <w:lang w:val="en-GB"/>
        </w:rPr>
        <w:t xml:space="preserve"> achieve the 2030 targets through measurable and result-oriented regional interventions that will enable sustainable economic growth shared by all.</w:t>
      </w:r>
      <w:r w:rsidRPr="00227AD5">
        <w:rPr>
          <w:rFonts w:ascii="Calibri" w:eastAsia="Times New Roman" w:hAnsi="Calibri" w:cs="Times New Roman"/>
          <w:sz w:val="20"/>
          <w:szCs w:val="20"/>
          <w:highlight w:val="yellow"/>
          <w:lang w:val="en-GB"/>
        </w:rPr>
        <w:t xml:space="preserve"> </w:t>
      </w:r>
    </w:p>
    <w:p w14:paraId="4DEA5C57" w14:textId="77777777" w:rsidR="009838A9" w:rsidRPr="00227AD5" w:rsidRDefault="009838A9" w:rsidP="009838A9">
      <w:pPr>
        <w:ind w:left="720"/>
        <w:contextualSpacing/>
        <w:rPr>
          <w:rFonts w:ascii="Calibri" w:eastAsia="Calibri" w:hAnsi="Calibri" w:cs="Times New Roman"/>
          <w:lang w:val="en-GB"/>
        </w:rPr>
      </w:pPr>
    </w:p>
    <w:p w14:paraId="32E56506" w14:textId="31504796" w:rsidR="009838A9" w:rsidRPr="00227AD5" w:rsidRDefault="009838A9" w:rsidP="009838A9">
      <w:pPr>
        <w:numPr>
          <w:ilvl w:val="0"/>
          <w:numId w:val="1"/>
        </w:numPr>
        <w:spacing w:after="200" w:line="276" w:lineRule="auto"/>
        <w:ind w:left="360"/>
        <w:contextualSpacing/>
        <w:rPr>
          <w:rFonts w:ascii="Calibri" w:eastAsia="Calibri" w:hAnsi="Calibri" w:cs="Times New Roman"/>
          <w:b/>
          <w:bCs/>
          <w:lang w:val="en-GB"/>
        </w:rPr>
      </w:pPr>
      <w:r w:rsidRPr="00227AD5">
        <w:rPr>
          <w:rFonts w:ascii="Calibri" w:eastAsia="Calibri" w:hAnsi="Calibri" w:cs="Times New Roman"/>
          <w:b/>
          <w:bCs/>
          <w:lang w:val="en-GB"/>
        </w:rPr>
        <w:t xml:space="preserve">Programming </w:t>
      </w:r>
      <w:r w:rsidR="00DE3B35">
        <w:rPr>
          <w:rFonts w:ascii="Calibri" w:eastAsia="Calibri" w:hAnsi="Calibri" w:cs="Times New Roman"/>
          <w:b/>
          <w:bCs/>
          <w:lang w:val="en-GB"/>
        </w:rPr>
        <w:t>p</w:t>
      </w:r>
      <w:r w:rsidRPr="00227AD5">
        <w:rPr>
          <w:rFonts w:ascii="Calibri" w:eastAsia="Calibri" w:hAnsi="Calibri" w:cs="Times New Roman"/>
          <w:b/>
          <w:bCs/>
          <w:lang w:val="en-GB"/>
        </w:rPr>
        <w:t>rocess</w:t>
      </w:r>
    </w:p>
    <w:p w14:paraId="256174D8" w14:textId="2659256A" w:rsidR="009838A9" w:rsidRPr="00227AD5" w:rsidRDefault="009838A9" w:rsidP="009838A9">
      <w:pPr>
        <w:jc w:val="both"/>
        <w:rPr>
          <w:rFonts w:ascii="Calibri" w:eastAsia="Calibri" w:hAnsi="Calibri" w:cs="Times New Roman"/>
          <w:lang w:val="en-GB"/>
        </w:rPr>
      </w:pPr>
      <w:r w:rsidRPr="00227AD5">
        <w:rPr>
          <w:rFonts w:ascii="Calibri" w:eastAsia="Calibri" w:hAnsi="Calibri" w:cs="Times New Roman"/>
          <w:lang w:val="en-GB"/>
        </w:rPr>
        <w:t xml:space="preserve">The SEE 2030 </w:t>
      </w:r>
      <w:r w:rsidR="00DE3B35">
        <w:rPr>
          <w:rFonts w:ascii="Calibri" w:eastAsia="Calibri" w:hAnsi="Calibri" w:cs="Times New Roman"/>
          <w:lang w:val="en-GB"/>
        </w:rPr>
        <w:t>p</w:t>
      </w:r>
      <w:r w:rsidRPr="00227AD5">
        <w:rPr>
          <w:rFonts w:ascii="Calibri" w:eastAsia="Calibri" w:hAnsi="Calibri" w:cs="Times New Roman"/>
          <w:lang w:val="en-GB"/>
        </w:rPr>
        <w:t xml:space="preserve">rogramming </w:t>
      </w:r>
      <w:r w:rsidR="00DE3B35">
        <w:rPr>
          <w:rFonts w:ascii="Calibri" w:eastAsia="Calibri" w:hAnsi="Calibri" w:cs="Times New Roman"/>
          <w:lang w:val="en-GB"/>
        </w:rPr>
        <w:t>p</w:t>
      </w:r>
      <w:r w:rsidRPr="00227AD5">
        <w:rPr>
          <w:rFonts w:ascii="Calibri" w:eastAsia="Calibri" w:hAnsi="Calibri" w:cs="Times New Roman"/>
          <w:lang w:val="en-GB"/>
        </w:rPr>
        <w:t xml:space="preserve">rocess envisages several stages in programming to ensure that the end result of the process – the SEE 2030 programming document – is best aligned with the priorities and objectives of the SEE 2030 Strategy and the needs of the SEE region and SEECP </w:t>
      </w:r>
      <w:r w:rsidR="000D6035" w:rsidRPr="00227AD5">
        <w:rPr>
          <w:rFonts w:ascii="Calibri" w:eastAsia="Calibri" w:hAnsi="Calibri" w:cs="Times New Roman"/>
          <w:lang w:val="en-GB"/>
        </w:rPr>
        <w:t>p</w:t>
      </w:r>
      <w:r w:rsidRPr="00227AD5">
        <w:rPr>
          <w:rFonts w:ascii="Calibri" w:eastAsia="Calibri" w:hAnsi="Calibri" w:cs="Times New Roman"/>
          <w:lang w:val="en-GB"/>
        </w:rPr>
        <w:t xml:space="preserve">articipants. The objective of the programming process is to establish a cycle to cluster the actions foreseen by the SEE 2030 Strategy in accordance with the priorities and objectives of the Strategy, and to facilitate undertaking concrete actions by the SEECP </w:t>
      </w:r>
      <w:r w:rsidR="000D6035" w:rsidRPr="00227AD5">
        <w:rPr>
          <w:rFonts w:ascii="Calibri" w:eastAsia="Calibri" w:hAnsi="Calibri" w:cs="Times New Roman"/>
          <w:lang w:val="en-GB"/>
        </w:rPr>
        <w:t>p</w:t>
      </w:r>
      <w:r w:rsidRPr="00227AD5">
        <w:rPr>
          <w:rFonts w:ascii="Calibri" w:eastAsia="Calibri" w:hAnsi="Calibri" w:cs="Times New Roman"/>
          <w:lang w:val="en-GB"/>
        </w:rPr>
        <w:t xml:space="preserve">articipants through regional programmes and projects implemented in line with the </w:t>
      </w:r>
      <w:r w:rsidR="000D6035" w:rsidRPr="00227AD5">
        <w:rPr>
          <w:rFonts w:ascii="Calibri" w:eastAsia="Calibri" w:hAnsi="Calibri" w:cs="Times New Roman"/>
          <w:lang w:val="en-GB"/>
        </w:rPr>
        <w:t xml:space="preserve">assistance </w:t>
      </w:r>
      <w:r w:rsidRPr="00227AD5">
        <w:rPr>
          <w:rFonts w:ascii="Calibri" w:eastAsia="Calibri" w:hAnsi="Calibri" w:cs="Times New Roman"/>
          <w:lang w:val="en-GB"/>
        </w:rPr>
        <w:t>instruments defined by the Strategy. The stages of the programming process include:</w:t>
      </w:r>
    </w:p>
    <w:p w14:paraId="26CC37E5" w14:textId="5E280325" w:rsidR="009838A9" w:rsidRPr="00227AD5" w:rsidRDefault="009838A9" w:rsidP="009838A9">
      <w:pPr>
        <w:numPr>
          <w:ilvl w:val="0"/>
          <w:numId w:val="2"/>
        </w:numPr>
        <w:spacing w:after="200" w:line="276" w:lineRule="auto"/>
        <w:ind w:left="714" w:hanging="357"/>
        <w:jc w:val="both"/>
        <w:rPr>
          <w:rFonts w:ascii="Calibri" w:eastAsia="Calibri" w:hAnsi="Calibri" w:cs="Calibri"/>
          <w:lang w:val="en-GB"/>
        </w:rPr>
      </w:pPr>
      <w:r w:rsidRPr="00227AD5">
        <w:rPr>
          <w:rFonts w:ascii="Calibri" w:eastAsia="Calibri" w:hAnsi="Calibri" w:cs="Calibri"/>
          <w:b/>
          <w:bCs/>
          <w:lang w:val="en-GB"/>
        </w:rPr>
        <w:t>Identification of project concepts</w:t>
      </w:r>
      <w:r w:rsidRPr="00227AD5">
        <w:rPr>
          <w:rFonts w:ascii="Calibri" w:eastAsia="Calibri" w:hAnsi="Calibri" w:cs="Calibri"/>
          <w:lang w:val="en-GB"/>
        </w:rPr>
        <w:t xml:space="preserve"> as the inception phase of the programming exercise. RCC will compile and identify project concepts through a consultative process that engages the National SEE 2030 Co</w:t>
      </w:r>
      <w:r w:rsidR="00227AD5">
        <w:rPr>
          <w:rFonts w:ascii="Calibri" w:eastAsia="Calibri" w:hAnsi="Calibri" w:cs="Calibri"/>
          <w:lang w:val="en-GB"/>
        </w:rPr>
        <w:t>-</w:t>
      </w:r>
      <w:r w:rsidRPr="00227AD5">
        <w:rPr>
          <w:rFonts w:ascii="Calibri" w:eastAsia="Calibri" w:hAnsi="Calibri" w:cs="Calibri"/>
          <w:lang w:val="en-GB"/>
        </w:rPr>
        <w:t>ordinators (and line ministries and agencies through existing economy-level co</w:t>
      </w:r>
      <w:r w:rsidR="00227AD5">
        <w:rPr>
          <w:rFonts w:ascii="Calibri" w:eastAsia="Calibri" w:hAnsi="Calibri" w:cs="Calibri"/>
          <w:lang w:val="en-GB"/>
        </w:rPr>
        <w:t>-</w:t>
      </w:r>
      <w:r w:rsidRPr="00227AD5">
        <w:rPr>
          <w:rFonts w:ascii="Calibri" w:eastAsia="Calibri" w:hAnsi="Calibri" w:cs="Calibri"/>
          <w:lang w:val="en-GB"/>
        </w:rPr>
        <w:t>ordination mechanisms), private sector representatives, the academia, donors and international and regional organisations, and financial institutions. To be considered within the programming process, the project concepts will need to address, at a minimum, the rationale</w:t>
      </w:r>
      <w:r w:rsidRPr="00227AD5">
        <w:rPr>
          <w:rFonts w:ascii="Calibri" w:eastAsia="Calibri" w:hAnsi="Calibri" w:cs="Calibri"/>
          <w:color w:val="202124"/>
          <w:shd w:val="clear" w:color="auto" w:fill="FFFFFF"/>
          <w:lang w:val="en-GB"/>
        </w:rPr>
        <w:t xml:space="preserve"> for the project within the SEE 2030 context, the project's objectives, expected results, estimated resources required and identification of potential funding sources. If agreed by the Committee, RCC Secretariat will also have the liberty to propose project concepts in this stage. </w:t>
      </w:r>
    </w:p>
    <w:p w14:paraId="0389133A" w14:textId="77777777" w:rsidR="009838A9" w:rsidRPr="00227AD5" w:rsidRDefault="009838A9" w:rsidP="009838A9">
      <w:pPr>
        <w:numPr>
          <w:ilvl w:val="0"/>
          <w:numId w:val="2"/>
        </w:numPr>
        <w:spacing w:after="200" w:line="276" w:lineRule="auto"/>
        <w:ind w:left="714" w:hanging="357"/>
        <w:jc w:val="both"/>
        <w:rPr>
          <w:rFonts w:ascii="Calibri" w:eastAsia="Calibri" w:hAnsi="Calibri" w:cs="Calibri"/>
          <w:lang w:val="en-GB"/>
        </w:rPr>
      </w:pPr>
      <w:r w:rsidRPr="00227AD5">
        <w:rPr>
          <w:rFonts w:ascii="Calibri" w:eastAsia="Calibri" w:hAnsi="Calibri" w:cs="Calibri"/>
          <w:b/>
          <w:bCs/>
          <w:lang w:val="en-GB"/>
        </w:rPr>
        <w:t xml:space="preserve">Prioritisation of projects </w:t>
      </w:r>
      <w:r w:rsidRPr="00227AD5">
        <w:rPr>
          <w:rFonts w:ascii="Calibri" w:eastAsia="Calibri" w:hAnsi="Calibri" w:cs="Calibri"/>
          <w:lang w:val="en-GB"/>
        </w:rPr>
        <w:t xml:space="preserve">as the second phase of the programming process to confirm alignment of the project concepts with the Strategy and its priorities. The methodology for prioritisation of project concepts will be based on the selection and eligibility criteria agreed by the Monitoring Committee and may be revised as deemed necessary by the Committee. </w:t>
      </w:r>
    </w:p>
    <w:p w14:paraId="3CB3530A" w14:textId="77777777" w:rsidR="009838A9" w:rsidRPr="00227AD5" w:rsidRDefault="009838A9" w:rsidP="009838A9">
      <w:pPr>
        <w:numPr>
          <w:ilvl w:val="0"/>
          <w:numId w:val="2"/>
        </w:numPr>
        <w:spacing w:after="200" w:line="276" w:lineRule="auto"/>
        <w:ind w:left="714" w:hanging="357"/>
        <w:jc w:val="both"/>
        <w:rPr>
          <w:rFonts w:ascii="Calibri" w:eastAsia="Calibri" w:hAnsi="Calibri" w:cs="Calibri"/>
          <w:lang w:val="en-GB"/>
        </w:rPr>
      </w:pPr>
      <w:r w:rsidRPr="00227AD5">
        <w:rPr>
          <w:rFonts w:ascii="Calibri" w:eastAsia="Calibri" w:hAnsi="Calibri" w:cs="Calibri"/>
          <w:b/>
          <w:bCs/>
          <w:lang w:val="en-GB"/>
        </w:rPr>
        <w:t>Development of full proposals</w:t>
      </w:r>
      <w:r w:rsidRPr="00227AD5">
        <w:rPr>
          <w:rFonts w:ascii="Calibri" w:eastAsia="Calibri" w:hAnsi="Calibri" w:cs="Calibri"/>
          <w:lang w:val="en-GB"/>
        </w:rPr>
        <w:t xml:space="preserve"> for prioritised projects through collaborative effort with the project originators, prospective implementers and other stakeholders. The full proposal will contain the necessary elements for successful project implementation and roll out, such as: project purpose, stakeholder analysis, goals, specific objectives, method, detailed outline of necessary resources, and anticipated impact. Where necessary and possible, technical assistance can be sought to elaborate full project proposals. </w:t>
      </w:r>
    </w:p>
    <w:p w14:paraId="46857E99" w14:textId="44FD0988" w:rsidR="009838A9" w:rsidRPr="00227AD5" w:rsidRDefault="009838A9" w:rsidP="009838A9">
      <w:pPr>
        <w:numPr>
          <w:ilvl w:val="0"/>
          <w:numId w:val="2"/>
        </w:numPr>
        <w:spacing w:after="200" w:line="276" w:lineRule="auto"/>
        <w:ind w:left="714" w:hanging="357"/>
        <w:jc w:val="both"/>
        <w:rPr>
          <w:rFonts w:ascii="Calibri" w:eastAsia="Calibri" w:hAnsi="Calibri" w:cs="Calibri"/>
          <w:lang w:val="en-GB"/>
        </w:rPr>
      </w:pPr>
      <w:r w:rsidRPr="00227AD5">
        <w:rPr>
          <w:rFonts w:ascii="Calibri" w:eastAsia="Calibri" w:hAnsi="Calibri" w:cs="Calibri"/>
          <w:b/>
          <w:bCs/>
          <w:lang w:val="en-GB"/>
        </w:rPr>
        <w:t xml:space="preserve">Fundraising </w:t>
      </w:r>
      <w:r w:rsidRPr="00227AD5">
        <w:rPr>
          <w:rFonts w:ascii="Calibri" w:eastAsia="Calibri" w:hAnsi="Calibri" w:cs="Calibri"/>
          <w:lang w:val="en-GB"/>
        </w:rPr>
        <w:t>to ensure that project proposals are appropriately resourced to enable the success of the project and the achievement of desired impact. While fundraising represents the final stage of project preparation, the potential funding sources for the project during the project conceptualisation stage will be proposed to the Monitoring Committee by the RCC in consultation with the stakeholders proposing project concepts, to maximise the efficiency of the programming process, ensure eligibility and secure alignment with funding source priorities. RCC will assist in co</w:t>
      </w:r>
      <w:r w:rsidR="00DE3B35">
        <w:rPr>
          <w:rFonts w:ascii="Calibri" w:eastAsia="Calibri" w:hAnsi="Calibri" w:cs="Calibri"/>
          <w:lang w:val="en-GB"/>
        </w:rPr>
        <w:t>-</w:t>
      </w:r>
      <w:r w:rsidRPr="00227AD5">
        <w:rPr>
          <w:rFonts w:ascii="Calibri" w:eastAsia="Calibri" w:hAnsi="Calibri" w:cs="Calibri"/>
          <w:lang w:val="en-GB"/>
        </w:rPr>
        <w:t>ordinating the fundraising process.</w:t>
      </w:r>
    </w:p>
    <w:p w14:paraId="0A5696DE" w14:textId="77777777" w:rsidR="009838A9" w:rsidRPr="00227AD5" w:rsidRDefault="009838A9" w:rsidP="009838A9">
      <w:pPr>
        <w:numPr>
          <w:ilvl w:val="0"/>
          <w:numId w:val="2"/>
        </w:numPr>
        <w:spacing w:after="200" w:line="276" w:lineRule="auto"/>
        <w:contextualSpacing/>
        <w:jc w:val="both"/>
        <w:rPr>
          <w:rFonts w:ascii="Calibri" w:eastAsia="Calibri" w:hAnsi="Calibri" w:cs="Calibri"/>
          <w:lang w:val="en-GB"/>
        </w:rPr>
      </w:pPr>
      <w:r w:rsidRPr="00227AD5">
        <w:rPr>
          <w:rFonts w:ascii="Calibri" w:eastAsia="Calibri" w:hAnsi="Calibri" w:cs="Calibri"/>
          <w:b/>
          <w:bCs/>
          <w:lang w:val="en-GB"/>
        </w:rPr>
        <w:t xml:space="preserve">Monitoring and Evaluation </w:t>
      </w:r>
      <w:r w:rsidRPr="00227AD5">
        <w:rPr>
          <w:rFonts w:ascii="Calibri" w:eastAsia="Calibri" w:hAnsi="Calibri" w:cs="Calibri"/>
          <w:bCs/>
          <w:lang w:val="en-GB"/>
        </w:rPr>
        <w:t xml:space="preserve">results reported by (future) projects and overall implementation of the SEE 2030 will provide valuable feedback to the programming cycles and help adjusting </w:t>
      </w:r>
      <w:r w:rsidRPr="00227AD5">
        <w:rPr>
          <w:rFonts w:ascii="Calibri" w:eastAsia="Calibri" w:hAnsi="Calibri" w:cs="Calibri"/>
          <w:bCs/>
          <w:lang w:val="en-GB"/>
        </w:rPr>
        <w:lastRenderedPageBreak/>
        <w:t xml:space="preserve">the programming priorities of the Strategy. Wherever appropriate, thematic reports, instruments, guidelines, reviews and other tools developed by international organisations will also be benefited as information sources for monitoring and evaluation. </w:t>
      </w:r>
    </w:p>
    <w:p w14:paraId="36E6699D" w14:textId="77777777" w:rsidR="009838A9" w:rsidRPr="00227AD5" w:rsidRDefault="009838A9" w:rsidP="009838A9">
      <w:pPr>
        <w:jc w:val="both"/>
        <w:rPr>
          <w:rFonts w:ascii="Calibri" w:eastAsia="Calibri" w:hAnsi="Calibri" w:cs="Calibri"/>
          <w:lang w:val="en-GB"/>
        </w:rPr>
      </w:pPr>
    </w:p>
    <w:p w14:paraId="406E70E5" w14:textId="77777777" w:rsidR="009838A9" w:rsidRPr="00227AD5" w:rsidRDefault="009838A9" w:rsidP="009838A9">
      <w:pPr>
        <w:spacing w:after="200" w:line="240" w:lineRule="auto"/>
        <w:rPr>
          <w:rFonts w:ascii="Calibri" w:eastAsia="Calibri" w:hAnsi="Calibri" w:cs="Times New Roman"/>
          <w:i/>
          <w:iCs/>
          <w:color w:val="1F497D"/>
          <w:sz w:val="18"/>
          <w:szCs w:val="18"/>
          <w:lang w:val="en-GB"/>
        </w:rPr>
      </w:pPr>
      <w:r w:rsidRPr="00227AD5">
        <w:rPr>
          <w:rFonts w:ascii="Calibri" w:eastAsia="Calibri" w:hAnsi="Calibri" w:cs="Times New Roman"/>
          <w:i/>
          <w:iCs/>
          <w:color w:val="1F497D"/>
          <w:sz w:val="18"/>
          <w:szCs w:val="18"/>
          <w:lang w:val="en-GB"/>
        </w:rPr>
        <w:t xml:space="preserve">Figure </w:t>
      </w:r>
      <w:r w:rsidRPr="00227AD5">
        <w:rPr>
          <w:rFonts w:ascii="Calibri" w:eastAsia="Calibri" w:hAnsi="Calibri" w:cs="Times New Roman"/>
          <w:i/>
          <w:iCs/>
          <w:color w:val="1F497D"/>
          <w:sz w:val="18"/>
          <w:szCs w:val="18"/>
          <w:lang w:val="en-GB"/>
        </w:rPr>
        <w:fldChar w:fldCharType="begin"/>
      </w:r>
      <w:r w:rsidRPr="00227AD5">
        <w:rPr>
          <w:rFonts w:ascii="Calibri" w:eastAsia="Calibri" w:hAnsi="Calibri" w:cs="Times New Roman"/>
          <w:i/>
          <w:iCs/>
          <w:color w:val="1F497D"/>
          <w:sz w:val="18"/>
          <w:szCs w:val="18"/>
          <w:lang w:val="en-GB"/>
        </w:rPr>
        <w:instrText xml:space="preserve"> SEQ Figure \* ARABIC </w:instrText>
      </w:r>
      <w:r w:rsidRPr="00227AD5">
        <w:rPr>
          <w:rFonts w:ascii="Calibri" w:eastAsia="Calibri" w:hAnsi="Calibri" w:cs="Times New Roman"/>
          <w:i/>
          <w:iCs/>
          <w:color w:val="1F497D"/>
          <w:sz w:val="18"/>
          <w:szCs w:val="18"/>
          <w:lang w:val="en-GB"/>
        </w:rPr>
        <w:fldChar w:fldCharType="separate"/>
      </w:r>
      <w:r w:rsidRPr="00227AD5">
        <w:rPr>
          <w:rFonts w:ascii="Calibri" w:eastAsia="Calibri" w:hAnsi="Calibri" w:cs="Times New Roman"/>
          <w:i/>
          <w:iCs/>
          <w:color w:val="1F497D"/>
          <w:sz w:val="18"/>
          <w:szCs w:val="18"/>
          <w:lang w:val="en-GB"/>
        </w:rPr>
        <w:t>1</w:t>
      </w:r>
      <w:r w:rsidRPr="00227AD5">
        <w:rPr>
          <w:rFonts w:ascii="Calibri" w:eastAsia="Calibri" w:hAnsi="Calibri" w:cs="Times New Roman"/>
          <w:i/>
          <w:iCs/>
          <w:color w:val="1F497D"/>
          <w:sz w:val="18"/>
          <w:szCs w:val="18"/>
          <w:lang w:val="en-GB"/>
        </w:rPr>
        <w:fldChar w:fldCharType="end"/>
      </w:r>
      <w:r w:rsidRPr="00227AD5">
        <w:rPr>
          <w:rFonts w:ascii="Calibri" w:eastAsia="Calibri" w:hAnsi="Calibri" w:cs="Times New Roman"/>
          <w:i/>
          <w:iCs/>
          <w:color w:val="1F497D"/>
          <w:sz w:val="18"/>
          <w:szCs w:val="18"/>
          <w:lang w:val="en-GB"/>
        </w:rPr>
        <w:t>: Overview of programming stages</w:t>
      </w:r>
    </w:p>
    <w:tbl>
      <w:tblPr>
        <w:tblW w:w="0" w:type="auto"/>
        <w:tblInd w:w="103" w:type="dxa"/>
        <w:tblLook w:val="04A0" w:firstRow="1" w:lastRow="0" w:firstColumn="1" w:lastColumn="0" w:noHBand="0" w:noVBand="1"/>
      </w:tblPr>
      <w:tblGrid>
        <w:gridCol w:w="959"/>
        <w:gridCol w:w="274"/>
        <w:gridCol w:w="7680"/>
      </w:tblGrid>
      <w:tr w:rsidR="009838A9" w:rsidRPr="00227AD5" w14:paraId="3211EFE0" w14:textId="77777777" w:rsidTr="00D0235A">
        <w:trPr>
          <w:trHeight w:val="300"/>
        </w:trPr>
        <w:tc>
          <w:tcPr>
            <w:tcW w:w="959" w:type="dxa"/>
            <w:vMerge w:val="restart"/>
            <w:tcBorders>
              <w:top w:val="single" w:sz="4" w:space="0" w:color="FFFFFF"/>
              <w:left w:val="single" w:sz="4" w:space="0" w:color="FFFFFF"/>
              <w:bottom w:val="single" w:sz="4" w:space="0" w:color="FFFFFF"/>
              <w:right w:val="single" w:sz="4" w:space="0" w:color="FFFFFF"/>
            </w:tcBorders>
            <w:shd w:val="clear" w:color="auto" w:fill="4F81BD"/>
            <w:tcMar>
              <w:left w:w="57" w:type="dxa"/>
              <w:right w:w="57" w:type="dxa"/>
            </w:tcMar>
            <w:textDirection w:val="btLr"/>
            <w:vAlign w:val="center"/>
            <w:hideMark/>
          </w:tcPr>
          <w:p w14:paraId="67EDD842" w14:textId="77777777" w:rsidR="009838A9" w:rsidRPr="00227AD5" w:rsidRDefault="009838A9" w:rsidP="00D0235A">
            <w:pPr>
              <w:spacing w:after="0" w:line="240" w:lineRule="auto"/>
              <w:jc w:val="center"/>
              <w:rPr>
                <w:rFonts w:ascii="Calibri" w:eastAsia="Times New Roman" w:hAnsi="Calibri" w:cs="Times New Roman"/>
                <w:b/>
                <w:bCs/>
                <w:color w:val="000000"/>
                <w:sz w:val="18"/>
                <w:szCs w:val="18"/>
                <w:lang w:val="en-GB" w:eastAsia="bs-Latn-BA"/>
              </w:rPr>
            </w:pPr>
            <w:r w:rsidRPr="00227AD5">
              <w:rPr>
                <w:rFonts w:ascii="Calibri" w:eastAsia="Times New Roman" w:hAnsi="Calibri" w:cs="Times New Roman"/>
                <w:b/>
                <w:bCs/>
                <w:color w:val="FFFFFF"/>
                <w:sz w:val="18"/>
                <w:szCs w:val="18"/>
                <w:lang w:val="en-GB" w:eastAsia="bs-Latn-BA"/>
              </w:rPr>
              <w:t>Identification</w:t>
            </w:r>
          </w:p>
        </w:tc>
        <w:tc>
          <w:tcPr>
            <w:tcW w:w="274" w:type="dxa"/>
            <w:vMerge w:val="restart"/>
            <w:tcBorders>
              <w:top w:val="nil"/>
              <w:left w:val="single" w:sz="4" w:space="0" w:color="FFFFFF"/>
              <w:right w:val="nil"/>
            </w:tcBorders>
            <w:shd w:val="clear" w:color="000000" w:fill="FFFFFF"/>
            <w:tcMar>
              <w:left w:w="57" w:type="dxa"/>
              <w:right w:w="57" w:type="dxa"/>
            </w:tcMar>
            <w:vAlign w:val="bottom"/>
            <w:hideMark/>
          </w:tcPr>
          <w:p w14:paraId="2A8E385D" w14:textId="77777777" w:rsidR="009838A9" w:rsidRPr="00227AD5" w:rsidRDefault="009838A9" w:rsidP="00D0235A">
            <w:pPr>
              <w:spacing w:after="0" w:line="240" w:lineRule="auto"/>
              <w:rPr>
                <w:rFonts w:ascii="Calibri" w:eastAsia="Times New Roman" w:hAnsi="Calibri" w:cs="Times New Roman"/>
                <w:color w:val="000000"/>
                <w:sz w:val="18"/>
                <w:szCs w:val="18"/>
                <w:lang w:val="en-GB" w:eastAsia="bs-Latn-BA"/>
              </w:rPr>
            </w:pPr>
            <w:r w:rsidRPr="00227AD5">
              <w:rPr>
                <w:rFonts w:ascii="Calibri" w:eastAsia="Times New Roman" w:hAnsi="Calibri" w:cs="Times New Roman"/>
                <w:color w:val="000000"/>
                <w:sz w:val="18"/>
                <w:szCs w:val="18"/>
                <w:lang w:val="en-GB" w:eastAsia="bs-Latn-BA"/>
              </w:rPr>
              <w:t> </w:t>
            </w:r>
          </w:p>
          <w:p w14:paraId="2D152034" w14:textId="77777777" w:rsidR="009838A9" w:rsidRPr="00227AD5" w:rsidRDefault="009838A9" w:rsidP="00D0235A">
            <w:pPr>
              <w:spacing w:after="0" w:line="240" w:lineRule="auto"/>
              <w:rPr>
                <w:rFonts w:ascii="Calibri" w:eastAsia="Times New Roman" w:hAnsi="Calibri" w:cs="Times New Roman"/>
                <w:color w:val="000000"/>
                <w:sz w:val="2"/>
                <w:szCs w:val="2"/>
                <w:lang w:val="en-GB" w:eastAsia="bs-Latn-BA"/>
              </w:rPr>
            </w:pPr>
            <w:r w:rsidRPr="00227AD5">
              <w:rPr>
                <w:rFonts w:ascii="Calibri" w:eastAsia="Times New Roman" w:hAnsi="Calibri" w:cs="Times New Roman"/>
                <w:color w:val="000000"/>
                <w:sz w:val="18"/>
                <w:szCs w:val="18"/>
                <w:lang w:val="en-GB" w:eastAsia="bs-Latn-BA"/>
              </w:rPr>
              <w:t> </w:t>
            </w:r>
          </w:p>
          <w:p w14:paraId="1E812B42" w14:textId="77777777" w:rsidR="009838A9" w:rsidRPr="00227AD5" w:rsidRDefault="009838A9" w:rsidP="00D0235A">
            <w:pPr>
              <w:spacing w:after="0" w:line="240" w:lineRule="auto"/>
              <w:rPr>
                <w:rFonts w:ascii="Calibri" w:eastAsia="Times New Roman" w:hAnsi="Calibri" w:cs="Times New Roman"/>
                <w:color w:val="000000"/>
                <w:sz w:val="18"/>
                <w:szCs w:val="18"/>
                <w:lang w:val="en-GB" w:eastAsia="bs-Latn-BA"/>
              </w:rPr>
            </w:pPr>
            <w:r w:rsidRPr="00227AD5">
              <w:rPr>
                <w:rFonts w:ascii="Calibri" w:eastAsia="Times New Roman" w:hAnsi="Calibri" w:cs="Times New Roman"/>
                <w:color w:val="000000"/>
                <w:sz w:val="18"/>
                <w:szCs w:val="18"/>
                <w:lang w:val="en-GB" w:eastAsia="bs-Latn-BA"/>
              </w:rPr>
              <w:t> </w:t>
            </w:r>
          </w:p>
        </w:tc>
        <w:tc>
          <w:tcPr>
            <w:tcW w:w="7680" w:type="dxa"/>
            <w:tcBorders>
              <w:top w:val="single" w:sz="4" w:space="0" w:color="auto"/>
              <w:left w:val="single" w:sz="4" w:space="0" w:color="auto"/>
              <w:bottom w:val="dotted" w:sz="4" w:space="0" w:color="auto"/>
              <w:right w:val="single" w:sz="4" w:space="0" w:color="000000"/>
            </w:tcBorders>
            <w:shd w:val="clear" w:color="auto" w:fill="DBE5F1"/>
            <w:tcMar>
              <w:left w:w="57" w:type="dxa"/>
              <w:right w:w="57" w:type="dxa"/>
            </w:tcMar>
            <w:vAlign w:val="bottom"/>
            <w:hideMark/>
          </w:tcPr>
          <w:p w14:paraId="5C653793" w14:textId="77777777" w:rsidR="009838A9" w:rsidRPr="00227AD5" w:rsidRDefault="009838A9" w:rsidP="00D0235A">
            <w:pPr>
              <w:spacing w:after="0" w:line="240" w:lineRule="auto"/>
              <w:jc w:val="center"/>
              <w:rPr>
                <w:rFonts w:ascii="Calibri" w:eastAsia="Times New Roman" w:hAnsi="Calibri" w:cs="Times New Roman"/>
                <w:color w:val="000000"/>
                <w:sz w:val="18"/>
                <w:szCs w:val="18"/>
                <w:lang w:val="en-GB" w:eastAsia="bs-Latn-BA"/>
              </w:rPr>
            </w:pPr>
            <w:r w:rsidRPr="00227AD5">
              <w:rPr>
                <w:rFonts w:ascii="Calibri" w:eastAsia="Times New Roman" w:hAnsi="Calibri" w:cs="Times New Roman"/>
                <w:color w:val="000000"/>
                <w:sz w:val="18"/>
                <w:szCs w:val="18"/>
                <w:lang w:val="en-GB" w:eastAsia="bs-Latn-BA"/>
              </w:rPr>
              <w:t>Programming inception</w:t>
            </w:r>
          </w:p>
        </w:tc>
      </w:tr>
      <w:tr w:rsidR="009838A9" w:rsidRPr="00227AD5" w14:paraId="6142E30B" w14:textId="77777777" w:rsidTr="00D0235A">
        <w:trPr>
          <w:trHeight w:val="1015"/>
        </w:trPr>
        <w:tc>
          <w:tcPr>
            <w:tcW w:w="959" w:type="dxa"/>
            <w:vMerge/>
            <w:tcBorders>
              <w:top w:val="single" w:sz="4" w:space="0" w:color="FFFFFF"/>
              <w:left w:val="single" w:sz="4" w:space="0" w:color="FFFFFF"/>
              <w:bottom w:val="single" w:sz="4" w:space="0" w:color="FFFFFF"/>
              <w:right w:val="single" w:sz="4" w:space="0" w:color="FFFFFF"/>
            </w:tcBorders>
            <w:shd w:val="clear" w:color="auto" w:fill="4F81BD"/>
            <w:tcMar>
              <w:left w:w="57" w:type="dxa"/>
              <w:right w:w="57" w:type="dxa"/>
            </w:tcMar>
            <w:vAlign w:val="center"/>
            <w:hideMark/>
          </w:tcPr>
          <w:p w14:paraId="752C264F" w14:textId="77777777" w:rsidR="009838A9" w:rsidRPr="00227AD5" w:rsidRDefault="009838A9" w:rsidP="00D0235A">
            <w:pPr>
              <w:spacing w:after="0" w:line="240" w:lineRule="auto"/>
              <w:rPr>
                <w:rFonts w:ascii="Calibri" w:eastAsia="Times New Roman" w:hAnsi="Calibri" w:cs="Times New Roman"/>
                <w:b/>
                <w:bCs/>
                <w:color w:val="000000"/>
                <w:sz w:val="18"/>
                <w:szCs w:val="18"/>
                <w:lang w:val="en-GB" w:eastAsia="bs-Latn-BA"/>
              </w:rPr>
            </w:pPr>
          </w:p>
        </w:tc>
        <w:tc>
          <w:tcPr>
            <w:tcW w:w="274" w:type="dxa"/>
            <w:vMerge/>
            <w:tcBorders>
              <w:left w:val="single" w:sz="4" w:space="0" w:color="FFFFFF"/>
              <w:bottom w:val="nil"/>
              <w:right w:val="nil"/>
            </w:tcBorders>
            <w:shd w:val="clear" w:color="000000" w:fill="FFFFFF"/>
            <w:tcMar>
              <w:left w:w="57" w:type="dxa"/>
              <w:right w:w="57" w:type="dxa"/>
            </w:tcMar>
            <w:vAlign w:val="bottom"/>
            <w:hideMark/>
          </w:tcPr>
          <w:p w14:paraId="39C69EE8" w14:textId="77777777" w:rsidR="009838A9" w:rsidRPr="00227AD5" w:rsidRDefault="009838A9" w:rsidP="00D0235A">
            <w:pPr>
              <w:spacing w:after="0" w:line="240" w:lineRule="auto"/>
              <w:rPr>
                <w:rFonts w:ascii="Calibri" w:eastAsia="Times New Roman" w:hAnsi="Calibri" w:cs="Times New Roman"/>
                <w:color w:val="000000"/>
                <w:sz w:val="2"/>
                <w:szCs w:val="2"/>
                <w:lang w:val="en-GB" w:eastAsia="bs-Latn-BA"/>
              </w:rPr>
            </w:pPr>
          </w:p>
        </w:tc>
        <w:tc>
          <w:tcPr>
            <w:tcW w:w="7680" w:type="dxa"/>
            <w:vMerge w:val="restart"/>
            <w:tcBorders>
              <w:top w:val="dotted" w:sz="4" w:space="0" w:color="auto"/>
              <w:left w:val="single" w:sz="4" w:space="0" w:color="auto"/>
              <w:bottom w:val="single" w:sz="4" w:space="0" w:color="auto"/>
              <w:right w:val="single" w:sz="4" w:space="0" w:color="auto"/>
            </w:tcBorders>
            <w:shd w:val="clear" w:color="000000" w:fill="FFFFFF"/>
            <w:tcMar>
              <w:left w:w="57" w:type="dxa"/>
              <w:right w:w="57" w:type="dxa"/>
            </w:tcMar>
            <w:vAlign w:val="center"/>
            <w:hideMark/>
          </w:tcPr>
          <w:p w14:paraId="13CB0E04" w14:textId="77777777" w:rsidR="009838A9" w:rsidRPr="00227AD5" w:rsidRDefault="009838A9" w:rsidP="00D0235A">
            <w:pPr>
              <w:spacing w:after="0" w:line="240" w:lineRule="auto"/>
              <w:jc w:val="center"/>
              <w:rPr>
                <w:rFonts w:ascii="Calibri" w:eastAsia="Times New Roman" w:hAnsi="Calibri" w:cs="Times New Roman"/>
                <w:i/>
                <w:iCs/>
                <w:color w:val="000000"/>
                <w:sz w:val="18"/>
                <w:szCs w:val="18"/>
                <w:lang w:val="en-GB" w:eastAsia="bs-Latn-BA"/>
              </w:rPr>
            </w:pPr>
            <w:r w:rsidRPr="00227AD5">
              <w:rPr>
                <w:rFonts w:ascii="Calibri" w:eastAsia="Times New Roman" w:hAnsi="Calibri" w:cs="Times New Roman"/>
                <w:color w:val="000000"/>
                <w:sz w:val="18"/>
                <w:szCs w:val="18"/>
                <w:lang w:val="en-GB" w:eastAsia="bs-Latn-BA"/>
              </w:rPr>
              <w:t>Prepare the programming framework, inform stakeholders, initiate the programming process and compile project concepts</w:t>
            </w:r>
          </w:p>
          <w:p w14:paraId="6FE559DC" w14:textId="77777777" w:rsidR="009838A9" w:rsidRPr="00227AD5" w:rsidRDefault="009838A9" w:rsidP="00D0235A">
            <w:pPr>
              <w:spacing w:after="0" w:line="240" w:lineRule="auto"/>
              <w:jc w:val="center"/>
              <w:rPr>
                <w:rFonts w:ascii="Calibri" w:eastAsia="Times New Roman" w:hAnsi="Calibri" w:cs="Times New Roman"/>
                <w:i/>
                <w:iCs/>
                <w:color w:val="000000"/>
                <w:sz w:val="18"/>
                <w:szCs w:val="18"/>
                <w:lang w:val="en-GB" w:eastAsia="bs-Latn-BA"/>
              </w:rPr>
            </w:pPr>
          </w:p>
          <w:p w14:paraId="4CB545C8" w14:textId="77777777" w:rsidR="009838A9" w:rsidRPr="00227AD5" w:rsidRDefault="009838A9" w:rsidP="00D0235A">
            <w:pPr>
              <w:spacing w:after="0" w:line="240" w:lineRule="auto"/>
              <w:jc w:val="center"/>
              <w:rPr>
                <w:rFonts w:ascii="Calibri" w:eastAsia="Times New Roman" w:hAnsi="Calibri" w:cs="Times New Roman"/>
                <w:color w:val="000000"/>
                <w:sz w:val="18"/>
                <w:szCs w:val="18"/>
                <w:lang w:val="en-GB" w:eastAsia="bs-Latn-BA"/>
              </w:rPr>
            </w:pPr>
            <w:r w:rsidRPr="00227AD5">
              <w:rPr>
                <w:rFonts w:ascii="Calibri" w:eastAsia="Calibri" w:hAnsi="Calibri" w:cs="Times New Roman"/>
                <w:noProof/>
                <w:sz w:val="18"/>
                <w:szCs w:val="18"/>
              </w:rPr>
              <mc:AlternateContent>
                <mc:Choice Requires="wps">
                  <w:drawing>
                    <wp:anchor distT="0" distB="0" distL="114300" distR="114300" simplePos="0" relativeHeight="251659264" behindDoc="0" locked="0" layoutInCell="1" allowOverlap="1" wp14:anchorId="2A91D203" wp14:editId="37327B95">
                      <wp:simplePos x="0" y="0"/>
                      <wp:positionH relativeFrom="column">
                        <wp:posOffset>2235835</wp:posOffset>
                      </wp:positionH>
                      <wp:positionV relativeFrom="paragraph">
                        <wp:posOffset>5715</wp:posOffset>
                      </wp:positionV>
                      <wp:extent cx="537210" cy="115570"/>
                      <wp:effectExtent l="0" t="0" r="0" b="0"/>
                      <wp:wrapNone/>
                      <wp:docPr id="12" name="Down Arrow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210" cy="115570"/>
                              </a:xfrm>
                              <a:prstGeom prst="downArrow">
                                <a:avLst>
                                  <a:gd name="adj1" fmla="val 50000"/>
                                  <a:gd name="adj2" fmla="val 100000"/>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26271A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4" o:spid="_x0000_s1026" type="#_x0000_t67" style="position:absolute;margin-left:176.05pt;margin-top:.45pt;width:42.3pt;height: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" adj="0" fillcolor="#4f81bd" stroked="f" strokeweight="2pt">
                      <v:path arrowok="t"/>
                    </v:shape>
                  </w:pict>
                </mc:Fallback>
              </mc:AlternateContent>
            </w:r>
          </w:p>
        </w:tc>
      </w:tr>
      <w:tr w:rsidR="009838A9" w:rsidRPr="00227AD5" w14:paraId="6113162A" w14:textId="77777777" w:rsidTr="00D0235A">
        <w:trPr>
          <w:trHeight w:val="53"/>
        </w:trPr>
        <w:tc>
          <w:tcPr>
            <w:tcW w:w="959" w:type="dxa"/>
            <w:vMerge/>
            <w:tcBorders>
              <w:top w:val="single" w:sz="4" w:space="0" w:color="FFFFFF"/>
              <w:left w:val="single" w:sz="4" w:space="0" w:color="FFFFFF"/>
              <w:bottom w:val="single" w:sz="4" w:space="0" w:color="FFFFFF"/>
              <w:right w:val="single" w:sz="4" w:space="0" w:color="FFFFFF"/>
            </w:tcBorders>
            <w:shd w:val="clear" w:color="auto" w:fill="4F81BD"/>
            <w:tcMar>
              <w:left w:w="57" w:type="dxa"/>
              <w:right w:w="57" w:type="dxa"/>
            </w:tcMar>
            <w:vAlign w:val="center"/>
            <w:hideMark/>
          </w:tcPr>
          <w:p w14:paraId="5E0D1195" w14:textId="77777777" w:rsidR="009838A9" w:rsidRPr="00227AD5" w:rsidRDefault="009838A9" w:rsidP="00D0235A">
            <w:pPr>
              <w:spacing w:after="0" w:line="240" w:lineRule="auto"/>
              <w:rPr>
                <w:rFonts w:ascii="Calibri" w:eastAsia="Times New Roman" w:hAnsi="Calibri" w:cs="Times New Roman"/>
                <w:b/>
                <w:bCs/>
                <w:color w:val="000000"/>
                <w:sz w:val="18"/>
                <w:szCs w:val="18"/>
                <w:lang w:val="en-GB" w:eastAsia="bs-Latn-BA"/>
              </w:rPr>
            </w:pPr>
          </w:p>
        </w:tc>
        <w:tc>
          <w:tcPr>
            <w:tcW w:w="274" w:type="dxa"/>
            <w:tcBorders>
              <w:top w:val="nil"/>
              <w:left w:val="single" w:sz="4" w:space="0" w:color="FFFFFF"/>
              <w:bottom w:val="nil"/>
              <w:right w:val="single" w:sz="4" w:space="0" w:color="auto"/>
            </w:tcBorders>
            <w:shd w:val="clear" w:color="000000" w:fill="FFFFFF"/>
            <w:tcMar>
              <w:left w:w="57" w:type="dxa"/>
              <w:right w:w="57" w:type="dxa"/>
            </w:tcMar>
            <w:vAlign w:val="bottom"/>
            <w:hideMark/>
          </w:tcPr>
          <w:p w14:paraId="3668733F" w14:textId="77777777" w:rsidR="009838A9" w:rsidRPr="00227AD5" w:rsidRDefault="009838A9" w:rsidP="00D0235A">
            <w:pPr>
              <w:spacing w:after="0" w:line="240" w:lineRule="auto"/>
              <w:rPr>
                <w:rFonts w:ascii="Calibri" w:eastAsia="Times New Roman" w:hAnsi="Calibri" w:cs="Times New Roman"/>
                <w:color w:val="000000"/>
                <w:sz w:val="18"/>
                <w:szCs w:val="18"/>
                <w:lang w:val="en-GB" w:eastAsia="bs-Latn-BA"/>
              </w:rPr>
            </w:pPr>
            <w:r w:rsidRPr="00227AD5">
              <w:rPr>
                <w:rFonts w:ascii="Calibri" w:eastAsia="Times New Roman" w:hAnsi="Calibri" w:cs="Times New Roman"/>
                <w:color w:val="000000"/>
                <w:sz w:val="18"/>
                <w:szCs w:val="18"/>
                <w:lang w:val="en-GB" w:eastAsia="bs-Latn-BA"/>
              </w:rPr>
              <w:t> </w:t>
            </w:r>
          </w:p>
        </w:tc>
        <w:tc>
          <w:tcPr>
            <w:tcW w:w="7680" w:type="dxa"/>
            <w:vMerge/>
            <w:tcBorders>
              <w:top w:val="nil"/>
              <w:left w:val="single" w:sz="4" w:space="0" w:color="auto"/>
              <w:bottom w:val="single" w:sz="4" w:space="0" w:color="auto"/>
              <w:right w:val="single" w:sz="4" w:space="0" w:color="auto"/>
            </w:tcBorders>
            <w:tcMar>
              <w:left w:w="57" w:type="dxa"/>
              <w:right w:w="57" w:type="dxa"/>
            </w:tcMar>
            <w:vAlign w:val="center"/>
            <w:hideMark/>
          </w:tcPr>
          <w:p w14:paraId="601A03DD" w14:textId="77777777" w:rsidR="009838A9" w:rsidRPr="00227AD5" w:rsidRDefault="009838A9" w:rsidP="00D0235A">
            <w:pPr>
              <w:spacing w:after="0" w:line="240" w:lineRule="auto"/>
              <w:rPr>
                <w:rFonts w:ascii="Calibri" w:eastAsia="Times New Roman" w:hAnsi="Calibri" w:cs="Times New Roman"/>
                <w:color w:val="000000"/>
                <w:sz w:val="18"/>
                <w:szCs w:val="18"/>
                <w:lang w:val="en-GB" w:eastAsia="bs-Latn-BA"/>
              </w:rPr>
            </w:pPr>
          </w:p>
        </w:tc>
      </w:tr>
      <w:tr w:rsidR="009838A9" w:rsidRPr="00227AD5" w14:paraId="6F089C82" w14:textId="77777777" w:rsidTr="00D0235A">
        <w:trPr>
          <w:trHeight w:val="300"/>
        </w:trPr>
        <w:tc>
          <w:tcPr>
            <w:tcW w:w="959" w:type="dxa"/>
            <w:vMerge w:val="restart"/>
            <w:tcBorders>
              <w:top w:val="single" w:sz="4" w:space="0" w:color="FFFFFF"/>
              <w:left w:val="single" w:sz="4" w:space="0" w:color="FFFFFF"/>
              <w:bottom w:val="single" w:sz="4" w:space="0" w:color="FFFFFF"/>
              <w:right w:val="single" w:sz="4" w:space="0" w:color="FFFFFF"/>
            </w:tcBorders>
            <w:shd w:val="clear" w:color="auto" w:fill="4F81BD"/>
            <w:tcMar>
              <w:left w:w="57" w:type="dxa"/>
              <w:right w:w="57" w:type="dxa"/>
            </w:tcMar>
            <w:textDirection w:val="btLr"/>
            <w:vAlign w:val="center"/>
            <w:hideMark/>
          </w:tcPr>
          <w:p w14:paraId="34464424" w14:textId="77777777" w:rsidR="009838A9" w:rsidRPr="00227AD5" w:rsidRDefault="009838A9" w:rsidP="00D0235A">
            <w:pPr>
              <w:spacing w:after="0" w:line="240" w:lineRule="auto"/>
              <w:jc w:val="center"/>
              <w:rPr>
                <w:rFonts w:ascii="Calibri" w:eastAsia="Times New Roman" w:hAnsi="Calibri" w:cs="Times New Roman"/>
                <w:b/>
                <w:bCs/>
                <w:color w:val="000000"/>
                <w:sz w:val="18"/>
                <w:szCs w:val="18"/>
                <w:lang w:val="en-GB" w:eastAsia="bs-Latn-BA"/>
              </w:rPr>
            </w:pPr>
            <w:r w:rsidRPr="00227AD5">
              <w:rPr>
                <w:rFonts w:ascii="Calibri" w:eastAsia="Times New Roman" w:hAnsi="Calibri" w:cs="Times New Roman"/>
                <w:b/>
                <w:bCs/>
                <w:color w:val="FFFFFF"/>
                <w:sz w:val="18"/>
                <w:szCs w:val="18"/>
                <w:lang w:val="en-GB" w:eastAsia="bs-Latn-BA"/>
              </w:rPr>
              <w:t>Prioritisation</w:t>
            </w:r>
          </w:p>
        </w:tc>
        <w:tc>
          <w:tcPr>
            <w:tcW w:w="274" w:type="dxa"/>
            <w:tcBorders>
              <w:top w:val="nil"/>
              <w:left w:val="single" w:sz="4" w:space="0" w:color="FFFFFF"/>
              <w:bottom w:val="nil"/>
              <w:right w:val="nil"/>
            </w:tcBorders>
            <w:shd w:val="clear" w:color="000000" w:fill="FFFFFF"/>
            <w:tcMar>
              <w:left w:w="57" w:type="dxa"/>
              <w:right w:w="57" w:type="dxa"/>
            </w:tcMar>
            <w:vAlign w:val="bottom"/>
            <w:hideMark/>
          </w:tcPr>
          <w:p w14:paraId="06B0EEBA" w14:textId="77777777" w:rsidR="009838A9" w:rsidRPr="00227AD5" w:rsidRDefault="009838A9" w:rsidP="00D0235A">
            <w:pPr>
              <w:spacing w:after="0" w:line="240" w:lineRule="auto"/>
              <w:rPr>
                <w:rFonts w:ascii="Calibri" w:eastAsia="Times New Roman" w:hAnsi="Calibri" w:cs="Times New Roman"/>
                <w:color w:val="000000"/>
                <w:sz w:val="18"/>
                <w:szCs w:val="18"/>
                <w:lang w:val="en-GB" w:eastAsia="bs-Latn-BA"/>
              </w:rPr>
            </w:pPr>
            <w:r w:rsidRPr="00227AD5">
              <w:rPr>
                <w:rFonts w:ascii="Calibri" w:eastAsia="Times New Roman" w:hAnsi="Calibri" w:cs="Times New Roman"/>
                <w:color w:val="000000"/>
                <w:sz w:val="18"/>
                <w:szCs w:val="18"/>
                <w:lang w:val="en-GB" w:eastAsia="bs-Latn-BA"/>
              </w:rPr>
              <w:t> </w:t>
            </w:r>
          </w:p>
        </w:tc>
        <w:tc>
          <w:tcPr>
            <w:tcW w:w="7680" w:type="dxa"/>
            <w:tcBorders>
              <w:top w:val="single" w:sz="4" w:space="0" w:color="auto"/>
              <w:left w:val="single" w:sz="4" w:space="0" w:color="auto"/>
              <w:bottom w:val="dotted" w:sz="4" w:space="0" w:color="auto"/>
              <w:right w:val="single" w:sz="4" w:space="0" w:color="000000"/>
            </w:tcBorders>
            <w:shd w:val="clear" w:color="auto" w:fill="DBE5F1"/>
            <w:tcMar>
              <w:left w:w="57" w:type="dxa"/>
              <w:right w:w="57" w:type="dxa"/>
            </w:tcMar>
            <w:vAlign w:val="bottom"/>
            <w:hideMark/>
          </w:tcPr>
          <w:p w14:paraId="4CC2FA49" w14:textId="77777777" w:rsidR="009838A9" w:rsidRPr="00227AD5" w:rsidRDefault="009838A9" w:rsidP="00D0235A">
            <w:pPr>
              <w:spacing w:after="0" w:line="240" w:lineRule="auto"/>
              <w:jc w:val="center"/>
              <w:rPr>
                <w:rFonts w:ascii="Calibri" w:eastAsia="Times New Roman" w:hAnsi="Calibri" w:cs="Times New Roman"/>
                <w:color w:val="000000"/>
                <w:sz w:val="18"/>
                <w:szCs w:val="18"/>
                <w:lang w:val="en-GB" w:eastAsia="bs-Latn-BA"/>
              </w:rPr>
            </w:pPr>
            <w:r w:rsidRPr="00227AD5">
              <w:rPr>
                <w:rFonts w:ascii="Calibri" w:eastAsia="Times New Roman" w:hAnsi="Calibri" w:cs="Times New Roman"/>
                <w:color w:val="000000"/>
                <w:sz w:val="18"/>
                <w:szCs w:val="18"/>
                <w:lang w:val="en-GB" w:eastAsia="bs-Latn-BA"/>
              </w:rPr>
              <w:t xml:space="preserve">Prioritisation </w:t>
            </w:r>
          </w:p>
        </w:tc>
      </w:tr>
      <w:tr w:rsidR="009838A9" w:rsidRPr="00227AD5" w14:paraId="04AD6D6A" w14:textId="77777777" w:rsidTr="00D0235A">
        <w:trPr>
          <w:trHeight w:val="885"/>
        </w:trPr>
        <w:tc>
          <w:tcPr>
            <w:tcW w:w="959" w:type="dxa"/>
            <w:vMerge/>
            <w:tcBorders>
              <w:top w:val="single" w:sz="4" w:space="0" w:color="FFFFFF"/>
              <w:left w:val="single" w:sz="4" w:space="0" w:color="FFFFFF"/>
              <w:bottom w:val="single" w:sz="4" w:space="0" w:color="FFFFFF"/>
              <w:right w:val="single" w:sz="4" w:space="0" w:color="FFFFFF"/>
            </w:tcBorders>
            <w:shd w:val="clear" w:color="auto" w:fill="4F81BD"/>
            <w:tcMar>
              <w:left w:w="57" w:type="dxa"/>
              <w:right w:w="57" w:type="dxa"/>
            </w:tcMar>
            <w:vAlign w:val="center"/>
            <w:hideMark/>
          </w:tcPr>
          <w:p w14:paraId="386906D6" w14:textId="77777777" w:rsidR="009838A9" w:rsidRPr="00227AD5" w:rsidRDefault="009838A9" w:rsidP="00D0235A">
            <w:pPr>
              <w:spacing w:after="0" w:line="240" w:lineRule="auto"/>
              <w:rPr>
                <w:rFonts w:ascii="Calibri" w:eastAsia="Times New Roman" w:hAnsi="Calibri" w:cs="Times New Roman"/>
                <w:b/>
                <w:bCs/>
                <w:color w:val="000000"/>
                <w:sz w:val="18"/>
                <w:szCs w:val="18"/>
                <w:lang w:val="en-GB" w:eastAsia="bs-Latn-BA"/>
              </w:rPr>
            </w:pPr>
          </w:p>
        </w:tc>
        <w:tc>
          <w:tcPr>
            <w:tcW w:w="274" w:type="dxa"/>
            <w:tcBorders>
              <w:top w:val="nil"/>
              <w:left w:val="single" w:sz="4" w:space="0" w:color="FFFFFF"/>
              <w:bottom w:val="nil"/>
              <w:right w:val="nil"/>
            </w:tcBorders>
            <w:shd w:val="clear" w:color="000000" w:fill="FFFFFF"/>
            <w:tcMar>
              <w:left w:w="57" w:type="dxa"/>
              <w:right w:w="57" w:type="dxa"/>
            </w:tcMar>
            <w:vAlign w:val="bottom"/>
            <w:hideMark/>
          </w:tcPr>
          <w:p w14:paraId="303810E4" w14:textId="77777777" w:rsidR="009838A9" w:rsidRPr="00227AD5" w:rsidRDefault="009838A9" w:rsidP="00D0235A">
            <w:pPr>
              <w:spacing w:after="0" w:line="240" w:lineRule="auto"/>
              <w:rPr>
                <w:rFonts w:ascii="Calibri" w:eastAsia="Times New Roman" w:hAnsi="Calibri" w:cs="Times New Roman"/>
                <w:color w:val="000000"/>
                <w:sz w:val="18"/>
                <w:szCs w:val="18"/>
                <w:lang w:val="en-GB" w:eastAsia="bs-Latn-BA"/>
              </w:rPr>
            </w:pPr>
            <w:r w:rsidRPr="00227AD5">
              <w:rPr>
                <w:rFonts w:ascii="Calibri" w:eastAsia="Times New Roman" w:hAnsi="Calibri" w:cs="Times New Roman"/>
                <w:color w:val="000000"/>
                <w:sz w:val="18"/>
                <w:szCs w:val="18"/>
                <w:lang w:val="en-GB" w:eastAsia="bs-Latn-BA"/>
              </w:rPr>
              <w:t> </w:t>
            </w:r>
          </w:p>
        </w:tc>
        <w:tc>
          <w:tcPr>
            <w:tcW w:w="7680" w:type="dxa"/>
            <w:vMerge w:val="restart"/>
            <w:tcBorders>
              <w:top w:val="dotted" w:sz="4" w:space="0" w:color="auto"/>
              <w:left w:val="single" w:sz="4" w:space="0" w:color="auto"/>
              <w:bottom w:val="single" w:sz="4" w:space="0" w:color="auto"/>
              <w:right w:val="single" w:sz="4" w:space="0" w:color="auto"/>
            </w:tcBorders>
            <w:shd w:val="clear" w:color="000000" w:fill="FFFFFF"/>
            <w:tcMar>
              <w:left w:w="57" w:type="dxa"/>
              <w:right w:w="57" w:type="dxa"/>
            </w:tcMar>
            <w:vAlign w:val="center"/>
            <w:hideMark/>
          </w:tcPr>
          <w:p w14:paraId="71ECC9CD" w14:textId="77777777" w:rsidR="009838A9" w:rsidRPr="00227AD5" w:rsidRDefault="009838A9" w:rsidP="00D0235A">
            <w:pPr>
              <w:spacing w:after="0" w:line="240" w:lineRule="auto"/>
              <w:jc w:val="center"/>
              <w:rPr>
                <w:rFonts w:ascii="Calibri" w:eastAsia="Times New Roman" w:hAnsi="Calibri" w:cs="Times New Roman"/>
                <w:i/>
                <w:iCs/>
                <w:color w:val="000000"/>
                <w:sz w:val="18"/>
                <w:szCs w:val="18"/>
                <w:lang w:val="en-GB" w:eastAsia="bs-Latn-BA"/>
              </w:rPr>
            </w:pPr>
            <w:r w:rsidRPr="00227AD5">
              <w:rPr>
                <w:rFonts w:ascii="Calibri" w:eastAsia="Times New Roman" w:hAnsi="Calibri" w:cs="Times New Roman"/>
                <w:color w:val="000000"/>
                <w:sz w:val="18"/>
                <w:szCs w:val="18"/>
                <w:lang w:val="en-GB" w:eastAsia="bs-Latn-BA"/>
              </w:rPr>
              <w:t xml:space="preserve">Review project concepts based on established criteria, consult with a broad base of stakeholders on the interventions, and agree on the proposals within the SEE 2030 consultation mechanism </w:t>
            </w:r>
          </w:p>
          <w:p w14:paraId="2406A88C" w14:textId="77777777" w:rsidR="009838A9" w:rsidRPr="00227AD5" w:rsidRDefault="009838A9" w:rsidP="00D0235A">
            <w:pPr>
              <w:spacing w:after="0" w:line="240" w:lineRule="auto"/>
              <w:jc w:val="center"/>
              <w:rPr>
                <w:rFonts w:ascii="Calibri" w:eastAsia="Times New Roman" w:hAnsi="Calibri" w:cs="Times New Roman"/>
                <w:i/>
                <w:iCs/>
                <w:color w:val="000000"/>
                <w:sz w:val="18"/>
                <w:szCs w:val="18"/>
                <w:lang w:val="en-GB" w:eastAsia="bs-Latn-BA"/>
              </w:rPr>
            </w:pPr>
          </w:p>
          <w:p w14:paraId="2E7CCC11" w14:textId="77777777" w:rsidR="009838A9" w:rsidRPr="00227AD5" w:rsidRDefault="009838A9" w:rsidP="00D0235A">
            <w:pPr>
              <w:spacing w:after="0" w:line="240" w:lineRule="auto"/>
              <w:jc w:val="center"/>
              <w:rPr>
                <w:rFonts w:ascii="Calibri" w:eastAsia="Times New Roman" w:hAnsi="Calibri" w:cs="Times New Roman"/>
                <w:color w:val="000000"/>
                <w:sz w:val="18"/>
                <w:szCs w:val="18"/>
                <w:lang w:val="en-GB" w:eastAsia="bs-Latn-BA"/>
              </w:rPr>
            </w:pPr>
            <w:r w:rsidRPr="00227AD5">
              <w:rPr>
                <w:rFonts w:ascii="Calibri" w:eastAsia="Times New Roman" w:hAnsi="Calibri" w:cs="Times New Roman"/>
                <w:noProof/>
                <w:color w:val="000000"/>
                <w:sz w:val="18"/>
                <w:szCs w:val="18"/>
              </w:rPr>
              <mc:AlternateContent>
                <mc:Choice Requires="wps">
                  <w:drawing>
                    <wp:anchor distT="0" distB="0" distL="114300" distR="114300" simplePos="0" relativeHeight="251660288" behindDoc="0" locked="0" layoutInCell="1" allowOverlap="1" wp14:anchorId="26BBC957" wp14:editId="0D27C9A7">
                      <wp:simplePos x="0" y="0"/>
                      <wp:positionH relativeFrom="column">
                        <wp:posOffset>2290445</wp:posOffset>
                      </wp:positionH>
                      <wp:positionV relativeFrom="paragraph">
                        <wp:posOffset>5715</wp:posOffset>
                      </wp:positionV>
                      <wp:extent cx="569595" cy="115570"/>
                      <wp:effectExtent l="0" t="0" r="0" b="0"/>
                      <wp:wrapNone/>
                      <wp:docPr id="11" name="Down Arrow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9595" cy="115570"/>
                              </a:xfrm>
                              <a:prstGeom prst="downArrow">
                                <a:avLst>
                                  <a:gd name="adj1" fmla="val 50000"/>
                                  <a:gd name="adj2" fmla="val 100000"/>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652CF77" id="Down Arrow 14" o:spid="_x0000_s1026" type="#_x0000_t67" style="position:absolute;margin-left:180.35pt;margin-top:.45pt;width:44.85pt;height: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" adj="0" fillcolor="#4f81bd" stroked="f" strokeweight="2pt">
                      <v:path arrowok="t"/>
                    </v:shape>
                  </w:pict>
                </mc:Fallback>
              </mc:AlternateContent>
            </w:r>
          </w:p>
        </w:tc>
      </w:tr>
      <w:tr w:rsidR="009838A9" w:rsidRPr="00227AD5" w14:paraId="4503B57D" w14:textId="77777777" w:rsidTr="00D0235A">
        <w:trPr>
          <w:trHeight w:val="303"/>
        </w:trPr>
        <w:tc>
          <w:tcPr>
            <w:tcW w:w="959" w:type="dxa"/>
            <w:vMerge/>
            <w:tcBorders>
              <w:top w:val="single" w:sz="4" w:space="0" w:color="FFFFFF"/>
              <w:left w:val="single" w:sz="4" w:space="0" w:color="FFFFFF"/>
              <w:bottom w:val="single" w:sz="4" w:space="0" w:color="FFFFFF"/>
              <w:right w:val="single" w:sz="4" w:space="0" w:color="FFFFFF"/>
            </w:tcBorders>
            <w:shd w:val="clear" w:color="auto" w:fill="4F81BD"/>
            <w:tcMar>
              <w:left w:w="57" w:type="dxa"/>
              <w:right w:w="57" w:type="dxa"/>
            </w:tcMar>
            <w:vAlign w:val="center"/>
            <w:hideMark/>
          </w:tcPr>
          <w:p w14:paraId="0C4B28B1" w14:textId="77777777" w:rsidR="009838A9" w:rsidRPr="00227AD5" w:rsidRDefault="009838A9" w:rsidP="00D0235A">
            <w:pPr>
              <w:spacing w:after="0" w:line="240" w:lineRule="auto"/>
              <w:rPr>
                <w:rFonts w:ascii="Calibri" w:eastAsia="Times New Roman" w:hAnsi="Calibri" w:cs="Times New Roman"/>
                <w:b/>
                <w:bCs/>
                <w:color w:val="000000"/>
                <w:sz w:val="18"/>
                <w:szCs w:val="18"/>
                <w:lang w:val="en-GB" w:eastAsia="bs-Latn-BA"/>
              </w:rPr>
            </w:pPr>
          </w:p>
        </w:tc>
        <w:tc>
          <w:tcPr>
            <w:tcW w:w="274" w:type="dxa"/>
            <w:tcBorders>
              <w:top w:val="nil"/>
              <w:left w:val="single" w:sz="4" w:space="0" w:color="FFFFFF"/>
              <w:bottom w:val="nil"/>
              <w:right w:val="single" w:sz="4" w:space="0" w:color="auto"/>
            </w:tcBorders>
            <w:shd w:val="clear" w:color="000000" w:fill="FFFFFF"/>
            <w:tcMar>
              <w:left w:w="57" w:type="dxa"/>
              <w:right w:w="57" w:type="dxa"/>
            </w:tcMar>
            <w:vAlign w:val="bottom"/>
            <w:hideMark/>
          </w:tcPr>
          <w:p w14:paraId="3A64D615" w14:textId="77777777" w:rsidR="009838A9" w:rsidRPr="00227AD5" w:rsidRDefault="009838A9" w:rsidP="00D0235A">
            <w:pPr>
              <w:spacing w:after="0" w:line="240" w:lineRule="auto"/>
              <w:rPr>
                <w:rFonts w:ascii="Calibri" w:eastAsia="Times New Roman" w:hAnsi="Calibri" w:cs="Times New Roman"/>
                <w:color w:val="000000"/>
                <w:sz w:val="18"/>
                <w:szCs w:val="18"/>
                <w:lang w:val="en-GB" w:eastAsia="bs-Latn-BA"/>
              </w:rPr>
            </w:pPr>
            <w:r w:rsidRPr="00227AD5">
              <w:rPr>
                <w:rFonts w:ascii="Calibri" w:eastAsia="Times New Roman" w:hAnsi="Calibri" w:cs="Times New Roman"/>
                <w:color w:val="000000"/>
                <w:sz w:val="18"/>
                <w:szCs w:val="18"/>
                <w:lang w:val="en-GB" w:eastAsia="bs-Latn-BA"/>
              </w:rPr>
              <w:t> </w:t>
            </w:r>
          </w:p>
        </w:tc>
        <w:tc>
          <w:tcPr>
            <w:tcW w:w="7680"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4975BDEB" w14:textId="77777777" w:rsidR="009838A9" w:rsidRPr="00227AD5" w:rsidRDefault="009838A9" w:rsidP="00D0235A">
            <w:pPr>
              <w:spacing w:after="0" w:line="240" w:lineRule="auto"/>
              <w:rPr>
                <w:rFonts w:ascii="Calibri" w:eastAsia="Times New Roman" w:hAnsi="Calibri" w:cs="Times New Roman"/>
                <w:color w:val="000000"/>
                <w:sz w:val="18"/>
                <w:szCs w:val="18"/>
                <w:lang w:val="en-GB" w:eastAsia="bs-Latn-BA"/>
              </w:rPr>
            </w:pPr>
          </w:p>
        </w:tc>
      </w:tr>
      <w:tr w:rsidR="009838A9" w:rsidRPr="00227AD5" w14:paraId="426FA2F0" w14:textId="77777777" w:rsidTr="00D0235A">
        <w:trPr>
          <w:trHeight w:val="300"/>
        </w:trPr>
        <w:tc>
          <w:tcPr>
            <w:tcW w:w="959" w:type="dxa"/>
            <w:vMerge w:val="restart"/>
            <w:tcBorders>
              <w:top w:val="single" w:sz="4" w:space="0" w:color="FFFFFF"/>
              <w:left w:val="single" w:sz="4" w:space="0" w:color="FFFFFF"/>
              <w:bottom w:val="single" w:sz="4" w:space="0" w:color="FFFFFF"/>
              <w:right w:val="single" w:sz="4" w:space="0" w:color="FFFFFF"/>
            </w:tcBorders>
            <w:shd w:val="clear" w:color="auto" w:fill="4F81BD"/>
            <w:tcMar>
              <w:left w:w="57" w:type="dxa"/>
              <w:right w:w="57" w:type="dxa"/>
            </w:tcMar>
            <w:textDirection w:val="btLr"/>
            <w:vAlign w:val="center"/>
            <w:hideMark/>
          </w:tcPr>
          <w:p w14:paraId="3A566370" w14:textId="77777777" w:rsidR="009838A9" w:rsidRPr="00227AD5" w:rsidRDefault="009838A9" w:rsidP="00D0235A">
            <w:pPr>
              <w:spacing w:after="0" w:line="240" w:lineRule="auto"/>
              <w:jc w:val="center"/>
              <w:rPr>
                <w:rFonts w:ascii="Calibri" w:eastAsia="Times New Roman" w:hAnsi="Calibri" w:cs="Times New Roman"/>
                <w:b/>
                <w:bCs/>
                <w:color w:val="000000"/>
                <w:sz w:val="18"/>
                <w:szCs w:val="18"/>
                <w:lang w:val="en-GB" w:eastAsia="bs-Latn-BA"/>
              </w:rPr>
            </w:pPr>
            <w:r w:rsidRPr="00227AD5">
              <w:rPr>
                <w:rFonts w:ascii="Calibri" w:eastAsia="Times New Roman" w:hAnsi="Calibri" w:cs="Times New Roman"/>
                <w:b/>
                <w:bCs/>
                <w:color w:val="FFFFFF"/>
                <w:sz w:val="18"/>
                <w:szCs w:val="18"/>
                <w:lang w:val="en-GB" w:eastAsia="bs-Latn-BA"/>
              </w:rPr>
              <w:t>Formulation</w:t>
            </w:r>
          </w:p>
        </w:tc>
        <w:tc>
          <w:tcPr>
            <w:tcW w:w="274" w:type="dxa"/>
            <w:vMerge w:val="restart"/>
            <w:tcBorders>
              <w:top w:val="nil"/>
              <w:left w:val="single" w:sz="4" w:space="0" w:color="FFFFFF"/>
              <w:right w:val="nil"/>
            </w:tcBorders>
            <w:shd w:val="clear" w:color="000000" w:fill="FFFFFF"/>
            <w:tcMar>
              <w:left w:w="57" w:type="dxa"/>
              <w:right w:w="57" w:type="dxa"/>
            </w:tcMar>
            <w:vAlign w:val="bottom"/>
            <w:hideMark/>
          </w:tcPr>
          <w:p w14:paraId="1F31902A" w14:textId="77777777" w:rsidR="009838A9" w:rsidRPr="00227AD5" w:rsidRDefault="009838A9" w:rsidP="00D0235A">
            <w:pPr>
              <w:spacing w:after="0" w:line="240" w:lineRule="auto"/>
              <w:rPr>
                <w:rFonts w:ascii="Calibri" w:eastAsia="Times New Roman" w:hAnsi="Calibri" w:cs="Times New Roman"/>
                <w:color w:val="000000"/>
                <w:sz w:val="18"/>
                <w:szCs w:val="18"/>
                <w:lang w:val="en-GB" w:eastAsia="bs-Latn-BA"/>
              </w:rPr>
            </w:pPr>
            <w:r w:rsidRPr="00227AD5">
              <w:rPr>
                <w:rFonts w:ascii="Calibri" w:eastAsia="Times New Roman" w:hAnsi="Calibri" w:cs="Times New Roman"/>
                <w:color w:val="000000"/>
                <w:sz w:val="18"/>
                <w:szCs w:val="18"/>
                <w:lang w:val="en-GB" w:eastAsia="bs-Latn-BA"/>
              </w:rPr>
              <w:t> </w:t>
            </w:r>
          </w:p>
          <w:p w14:paraId="4B7451E1" w14:textId="77777777" w:rsidR="009838A9" w:rsidRPr="00227AD5" w:rsidRDefault="009838A9" w:rsidP="00D0235A">
            <w:pPr>
              <w:spacing w:after="0" w:line="240" w:lineRule="auto"/>
              <w:rPr>
                <w:rFonts w:ascii="Calibri" w:eastAsia="Times New Roman" w:hAnsi="Calibri" w:cs="Times New Roman"/>
                <w:color w:val="000000"/>
                <w:sz w:val="18"/>
                <w:szCs w:val="18"/>
                <w:lang w:val="en-GB" w:eastAsia="bs-Latn-BA"/>
              </w:rPr>
            </w:pPr>
            <w:r w:rsidRPr="00227AD5">
              <w:rPr>
                <w:rFonts w:ascii="Calibri" w:eastAsia="Times New Roman" w:hAnsi="Calibri" w:cs="Times New Roman"/>
                <w:color w:val="000000"/>
                <w:sz w:val="18"/>
                <w:szCs w:val="18"/>
                <w:lang w:val="en-GB" w:eastAsia="bs-Latn-BA"/>
              </w:rPr>
              <w:t> </w:t>
            </w:r>
          </w:p>
          <w:p w14:paraId="48760E89" w14:textId="77777777" w:rsidR="009838A9" w:rsidRPr="00227AD5" w:rsidRDefault="009838A9" w:rsidP="00D0235A">
            <w:pPr>
              <w:spacing w:after="0" w:line="240" w:lineRule="auto"/>
              <w:rPr>
                <w:rFonts w:ascii="Calibri" w:eastAsia="Times New Roman" w:hAnsi="Calibri" w:cs="Times New Roman"/>
                <w:color w:val="000000"/>
                <w:sz w:val="18"/>
                <w:szCs w:val="18"/>
                <w:lang w:val="en-GB" w:eastAsia="bs-Latn-BA"/>
              </w:rPr>
            </w:pPr>
            <w:r w:rsidRPr="00227AD5">
              <w:rPr>
                <w:rFonts w:ascii="Calibri" w:eastAsia="Times New Roman" w:hAnsi="Calibri" w:cs="Times New Roman"/>
                <w:color w:val="000000"/>
                <w:sz w:val="18"/>
                <w:szCs w:val="18"/>
                <w:lang w:val="en-GB" w:eastAsia="bs-Latn-BA"/>
              </w:rPr>
              <w:t> </w:t>
            </w:r>
          </w:p>
          <w:p w14:paraId="741889E3" w14:textId="77777777" w:rsidR="009838A9" w:rsidRPr="00227AD5" w:rsidRDefault="009838A9" w:rsidP="00D0235A">
            <w:pPr>
              <w:spacing w:after="0" w:line="240" w:lineRule="auto"/>
              <w:rPr>
                <w:rFonts w:ascii="Calibri" w:eastAsia="Times New Roman" w:hAnsi="Calibri" w:cs="Times New Roman"/>
                <w:color w:val="000000"/>
                <w:sz w:val="18"/>
                <w:szCs w:val="18"/>
                <w:lang w:val="en-GB" w:eastAsia="bs-Latn-BA"/>
              </w:rPr>
            </w:pPr>
            <w:r w:rsidRPr="00227AD5">
              <w:rPr>
                <w:rFonts w:ascii="Calibri" w:eastAsia="Times New Roman" w:hAnsi="Calibri" w:cs="Times New Roman"/>
                <w:color w:val="000000"/>
                <w:sz w:val="18"/>
                <w:szCs w:val="18"/>
                <w:lang w:val="en-GB" w:eastAsia="bs-Latn-BA"/>
              </w:rPr>
              <w:t> </w:t>
            </w:r>
          </w:p>
          <w:p w14:paraId="6C6ECDC9" w14:textId="77777777" w:rsidR="009838A9" w:rsidRPr="00227AD5" w:rsidRDefault="009838A9" w:rsidP="00D0235A">
            <w:pPr>
              <w:spacing w:after="0" w:line="240" w:lineRule="auto"/>
              <w:rPr>
                <w:rFonts w:ascii="Calibri" w:eastAsia="Times New Roman" w:hAnsi="Calibri" w:cs="Times New Roman"/>
                <w:color w:val="000000"/>
                <w:sz w:val="18"/>
                <w:szCs w:val="18"/>
                <w:lang w:val="en-GB" w:eastAsia="bs-Latn-BA"/>
              </w:rPr>
            </w:pPr>
            <w:r w:rsidRPr="00227AD5">
              <w:rPr>
                <w:rFonts w:ascii="Calibri" w:eastAsia="Times New Roman" w:hAnsi="Calibri" w:cs="Times New Roman"/>
                <w:color w:val="000000"/>
                <w:sz w:val="18"/>
                <w:szCs w:val="18"/>
                <w:lang w:val="en-GB" w:eastAsia="bs-Latn-BA"/>
              </w:rPr>
              <w:t> </w:t>
            </w:r>
          </w:p>
        </w:tc>
        <w:tc>
          <w:tcPr>
            <w:tcW w:w="7680" w:type="dxa"/>
            <w:tcBorders>
              <w:top w:val="single" w:sz="4" w:space="0" w:color="auto"/>
              <w:left w:val="single" w:sz="4" w:space="0" w:color="auto"/>
              <w:bottom w:val="dotted" w:sz="4" w:space="0" w:color="auto"/>
              <w:right w:val="single" w:sz="4" w:space="0" w:color="000000"/>
            </w:tcBorders>
            <w:shd w:val="clear" w:color="auto" w:fill="DBE5F1"/>
            <w:tcMar>
              <w:left w:w="57" w:type="dxa"/>
              <w:right w:w="57" w:type="dxa"/>
            </w:tcMar>
            <w:vAlign w:val="bottom"/>
            <w:hideMark/>
          </w:tcPr>
          <w:p w14:paraId="71D98FD4" w14:textId="77777777" w:rsidR="009838A9" w:rsidRPr="00227AD5" w:rsidRDefault="009838A9" w:rsidP="00D0235A">
            <w:pPr>
              <w:spacing w:after="0" w:line="240" w:lineRule="auto"/>
              <w:jc w:val="center"/>
              <w:rPr>
                <w:rFonts w:ascii="Calibri" w:eastAsia="Times New Roman" w:hAnsi="Calibri" w:cs="Times New Roman"/>
                <w:color w:val="000000"/>
                <w:sz w:val="18"/>
                <w:szCs w:val="18"/>
                <w:lang w:val="en-GB" w:eastAsia="bs-Latn-BA"/>
              </w:rPr>
            </w:pPr>
            <w:r w:rsidRPr="00227AD5">
              <w:rPr>
                <w:rFonts w:ascii="Calibri" w:eastAsia="Times New Roman" w:hAnsi="Calibri" w:cs="Times New Roman"/>
                <w:color w:val="000000"/>
                <w:sz w:val="18"/>
                <w:szCs w:val="18"/>
                <w:lang w:val="en-GB" w:eastAsia="bs-Latn-BA"/>
              </w:rPr>
              <w:t>Formulation of full proposals and approval</w:t>
            </w:r>
          </w:p>
        </w:tc>
      </w:tr>
      <w:tr w:rsidR="009838A9" w:rsidRPr="00227AD5" w14:paraId="50FAA24D" w14:textId="77777777" w:rsidTr="00D0235A">
        <w:trPr>
          <w:trHeight w:val="1233"/>
        </w:trPr>
        <w:tc>
          <w:tcPr>
            <w:tcW w:w="959" w:type="dxa"/>
            <w:vMerge/>
            <w:tcBorders>
              <w:top w:val="single" w:sz="4" w:space="0" w:color="FFFFFF"/>
              <w:left w:val="single" w:sz="4" w:space="0" w:color="FFFFFF"/>
              <w:bottom w:val="single" w:sz="4" w:space="0" w:color="FFFFFF"/>
              <w:right w:val="single" w:sz="4" w:space="0" w:color="FFFFFF"/>
            </w:tcBorders>
            <w:shd w:val="clear" w:color="auto" w:fill="4F81BD"/>
            <w:tcMar>
              <w:left w:w="57" w:type="dxa"/>
              <w:right w:w="57" w:type="dxa"/>
            </w:tcMar>
            <w:vAlign w:val="center"/>
            <w:hideMark/>
          </w:tcPr>
          <w:p w14:paraId="4FCAB2D2" w14:textId="77777777" w:rsidR="009838A9" w:rsidRPr="00227AD5" w:rsidRDefault="009838A9" w:rsidP="00D0235A">
            <w:pPr>
              <w:spacing w:after="0" w:line="240" w:lineRule="auto"/>
              <w:rPr>
                <w:rFonts w:ascii="Calibri" w:eastAsia="Times New Roman" w:hAnsi="Calibri" w:cs="Times New Roman"/>
                <w:b/>
                <w:bCs/>
                <w:color w:val="000000"/>
                <w:sz w:val="18"/>
                <w:szCs w:val="18"/>
                <w:lang w:val="en-GB" w:eastAsia="bs-Latn-BA"/>
              </w:rPr>
            </w:pPr>
          </w:p>
        </w:tc>
        <w:tc>
          <w:tcPr>
            <w:tcW w:w="274" w:type="dxa"/>
            <w:vMerge/>
            <w:tcBorders>
              <w:left w:val="single" w:sz="4" w:space="0" w:color="FFFFFF"/>
              <w:bottom w:val="nil"/>
              <w:right w:val="nil"/>
            </w:tcBorders>
            <w:shd w:val="clear" w:color="000000" w:fill="FFFFFF"/>
            <w:tcMar>
              <w:left w:w="57" w:type="dxa"/>
              <w:right w:w="57" w:type="dxa"/>
            </w:tcMar>
            <w:vAlign w:val="bottom"/>
            <w:hideMark/>
          </w:tcPr>
          <w:p w14:paraId="2E3AEFC4" w14:textId="77777777" w:rsidR="009838A9" w:rsidRPr="00227AD5" w:rsidRDefault="009838A9" w:rsidP="00D0235A">
            <w:pPr>
              <w:spacing w:after="0" w:line="240" w:lineRule="auto"/>
              <w:rPr>
                <w:rFonts w:ascii="Calibri" w:eastAsia="Times New Roman" w:hAnsi="Calibri" w:cs="Times New Roman"/>
                <w:color w:val="000000"/>
                <w:sz w:val="18"/>
                <w:szCs w:val="18"/>
                <w:lang w:val="en-GB" w:eastAsia="bs-Latn-BA"/>
              </w:rPr>
            </w:pPr>
          </w:p>
        </w:tc>
        <w:tc>
          <w:tcPr>
            <w:tcW w:w="7680" w:type="dxa"/>
            <w:tcBorders>
              <w:top w:val="dotted" w:sz="4" w:space="0" w:color="auto"/>
              <w:left w:val="single" w:sz="4" w:space="0" w:color="auto"/>
              <w:bottom w:val="single" w:sz="4" w:space="0" w:color="auto"/>
              <w:right w:val="single" w:sz="4" w:space="0" w:color="auto"/>
            </w:tcBorders>
            <w:shd w:val="clear" w:color="000000" w:fill="FFFFFF"/>
            <w:tcMar>
              <w:left w:w="57" w:type="dxa"/>
              <w:right w:w="57" w:type="dxa"/>
            </w:tcMar>
            <w:vAlign w:val="center"/>
            <w:hideMark/>
          </w:tcPr>
          <w:p w14:paraId="260D0500" w14:textId="77777777" w:rsidR="009838A9" w:rsidRPr="00227AD5" w:rsidRDefault="009838A9" w:rsidP="00D0235A">
            <w:pPr>
              <w:spacing w:after="0" w:line="240" w:lineRule="auto"/>
              <w:jc w:val="center"/>
              <w:rPr>
                <w:rFonts w:ascii="Calibri" w:eastAsia="Times New Roman" w:hAnsi="Calibri" w:cs="Times New Roman"/>
                <w:color w:val="000000"/>
                <w:sz w:val="18"/>
                <w:szCs w:val="18"/>
                <w:lang w:val="en-GB" w:eastAsia="bs-Latn-BA"/>
              </w:rPr>
            </w:pPr>
          </w:p>
          <w:p w14:paraId="5C859FD3" w14:textId="77777777" w:rsidR="009838A9" w:rsidRPr="00227AD5" w:rsidRDefault="009838A9" w:rsidP="00D0235A">
            <w:pPr>
              <w:spacing w:after="0" w:line="240" w:lineRule="auto"/>
              <w:jc w:val="center"/>
              <w:rPr>
                <w:rFonts w:ascii="Calibri" w:eastAsia="Times New Roman" w:hAnsi="Calibri" w:cs="Times New Roman"/>
                <w:i/>
                <w:iCs/>
                <w:color w:val="000000"/>
                <w:sz w:val="18"/>
                <w:szCs w:val="18"/>
                <w:lang w:val="en-GB" w:eastAsia="bs-Latn-BA"/>
              </w:rPr>
            </w:pPr>
            <w:r w:rsidRPr="00227AD5">
              <w:rPr>
                <w:rFonts w:ascii="Calibri" w:eastAsia="Times New Roman" w:hAnsi="Calibri" w:cs="Times New Roman"/>
                <w:color w:val="000000"/>
                <w:sz w:val="18"/>
                <w:szCs w:val="18"/>
                <w:lang w:val="en-GB" w:eastAsia="bs-Latn-BA"/>
              </w:rPr>
              <w:t xml:space="preserve">Develop full project proposals, obtain Monitoring Committee's feedback, and adopt regional projects </w:t>
            </w:r>
          </w:p>
          <w:p w14:paraId="0D513ECB" w14:textId="77777777" w:rsidR="009838A9" w:rsidRPr="00227AD5" w:rsidRDefault="009838A9" w:rsidP="00D0235A">
            <w:pPr>
              <w:spacing w:after="0" w:line="240" w:lineRule="auto"/>
              <w:rPr>
                <w:rFonts w:ascii="Calibri" w:eastAsia="Times New Roman" w:hAnsi="Calibri" w:cs="Times New Roman"/>
                <w:color w:val="000000"/>
                <w:sz w:val="18"/>
                <w:szCs w:val="18"/>
                <w:lang w:val="en-GB" w:eastAsia="bs-Latn-BA"/>
              </w:rPr>
            </w:pPr>
          </w:p>
          <w:p w14:paraId="00E29CC2" w14:textId="77777777" w:rsidR="009838A9" w:rsidRPr="00227AD5" w:rsidRDefault="009838A9" w:rsidP="00D0235A">
            <w:pPr>
              <w:spacing w:after="0" w:line="240" w:lineRule="auto"/>
              <w:rPr>
                <w:rFonts w:ascii="Calibri" w:eastAsia="Times New Roman" w:hAnsi="Calibri" w:cs="Times New Roman"/>
                <w:color w:val="000000"/>
                <w:sz w:val="18"/>
                <w:szCs w:val="18"/>
                <w:lang w:val="en-GB" w:eastAsia="bs-Latn-BA"/>
              </w:rPr>
            </w:pPr>
          </w:p>
          <w:p w14:paraId="10A47BFF" w14:textId="77777777" w:rsidR="009838A9" w:rsidRPr="00227AD5" w:rsidRDefault="009838A9" w:rsidP="00D0235A">
            <w:pPr>
              <w:spacing w:after="0" w:line="240" w:lineRule="auto"/>
              <w:rPr>
                <w:rFonts w:ascii="Calibri" w:eastAsia="Times New Roman" w:hAnsi="Calibri" w:cs="Times New Roman"/>
                <w:color w:val="000000"/>
                <w:sz w:val="18"/>
                <w:szCs w:val="18"/>
                <w:lang w:val="en-GB" w:eastAsia="bs-Latn-BA"/>
              </w:rPr>
            </w:pPr>
            <w:r w:rsidRPr="00227AD5">
              <w:rPr>
                <w:rFonts w:ascii="Calibri" w:eastAsia="Times New Roman" w:hAnsi="Calibri" w:cs="Times New Roman"/>
                <w:noProof/>
                <w:color w:val="000000"/>
                <w:sz w:val="18"/>
                <w:szCs w:val="18"/>
              </w:rPr>
              <mc:AlternateContent>
                <mc:Choice Requires="wps">
                  <w:drawing>
                    <wp:anchor distT="0" distB="0" distL="114300" distR="114300" simplePos="0" relativeHeight="251661312" behindDoc="0" locked="0" layoutInCell="1" allowOverlap="1" wp14:anchorId="4A6FC43D" wp14:editId="3CC83752">
                      <wp:simplePos x="0" y="0"/>
                      <wp:positionH relativeFrom="column">
                        <wp:posOffset>2296795</wp:posOffset>
                      </wp:positionH>
                      <wp:positionV relativeFrom="paragraph">
                        <wp:posOffset>15875</wp:posOffset>
                      </wp:positionV>
                      <wp:extent cx="566420" cy="115570"/>
                      <wp:effectExtent l="0" t="0" r="0" b="0"/>
                      <wp:wrapNone/>
                      <wp:docPr id="10" name="Down Arrow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6420" cy="115570"/>
                              </a:xfrm>
                              <a:prstGeom prst="downArrow">
                                <a:avLst>
                                  <a:gd name="adj1" fmla="val 50000"/>
                                  <a:gd name="adj2" fmla="val 100000"/>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A5492E1" id="Down Arrow 14" o:spid="_x0000_s1026" type="#_x0000_t67" style="position:absolute;margin-left:180.85pt;margin-top:1.25pt;width:44.6pt;height: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" adj="0" fillcolor="#4f81bd" stroked="f" strokeweight="2pt">
                      <v:path arrowok="t"/>
                    </v:shape>
                  </w:pict>
                </mc:Fallback>
              </mc:AlternateContent>
            </w:r>
          </w:p>
          <w:p w14:paraId="11359DFD" w14:textId="77777777" w:rsidR="009838A9" w:rsidRPr="00227AD5" w:rsidRDefault="009838A9" w:rsidP="00D0235A">
            <w:pPr>
              <w:spacing w:after="0" w:line="240" w:lineRule="auto"/>
              <w:rPr>
                <w:rFonts w:ascii="Calibri" w:eastAsia="Times New Roman" w:hAnsi="Calibri" w:cs="Times New Roman"/>
                <w:color w:val="000000"/>
                <w:sz w:val="18"/>
                <w:szCs w:val="18"/>
                <w:lang w:val="en-GB" w:eastAsia="bs-Latn-BA"/>
              </w:rPr>
            </w:pPr>
          </w:p>
        </w:tc>
      </w:tr>
      <w:tr w:rsidR="009838A9" w:rsidRPr="00227AD5" w14:paraId="59B163CF" w14:textId="77777777" w:rsidTr="00D0235A">
        <w:trPr>
          <w:trHeight w:val="300"/>
        </w:trPr>
        <w:tc>
          <w:tcPr>
            <w:tcW w:w="959" w:type="dxa"/>
            <w:vMerge w:val="restart"/>
            <w:tcBorders>
              <w:top w:val="single" w:sz="4" w:space="0" w:color="FFFFFF"/>
              <w:left w:val="single" w:sz="4" w:space="0" w:color="FFFFFF"/>
              <w:bottom w:val="single" w:sz="4" w:space="0" w:color="FFFFFF"/>
              <w:right w:val="single" w:sz="4" w:space="0" w:color="FFFFFF"/>
            </w:tcBorders>
            <w:shd w:val="clear" w:color="auto" w:fill="4F81BD"/>
            <w:tcMar>
              <w:left w:w="57" w:type="dxa"/>
              <w:right w:w="57" w:type="dxa"/>
            </w:tcMar>
            <w:textDirection w:val="btLr"/>
            <w:vAlign w:val="center"/>
            <w:hideMark/>
          </w:tcPr>
          <w:p w14:paraId="3A314CB0" w14:textId="77777777" w:rsidR="009838A9" w:rsidRPr="00227AD5" w:rsidRDefault="009838A9" w:rsidP="00D0235A">
            <w:pPr>
              <w:spacing w:after="0" w:line="240" w:lineRule="auto"/>
              <w:jc w:val="center"/>
              <w:rPr>
                <w:rFonts w:ascii="Calibri" w:eastAsia="Times New Roman" w:hAnsi="Calibri" w:cs="Times New Roman"/>
                <w:b/>
                <w:bCs/>
                <w:color w:val="FFFFFF"/>
                <w:sz w:val="18"/>
                <w:szCs w:val="18"/>
                <w:lang w:val="en-GB" w:eastAsia="bs-Latn-BA"/>
              </w:rPr>
            </w:pPr>
            <w:r w:rsidRPr="00227AD5">
              <w:rPr>
                <w:rFonts w:ascii="Calibri" w:eastAsia="Times New Roman" w:hAnsi="Calibri" w:cs="Times New Roman"/>
                <w:b/>
                <w:bCs/>
                <w:color w:val="FFFFFF"/>
                <w:sz w:val="18"/>
                <w:szCs w:val="18"/>
                <w:lang w:val="en-GB" w:eastAsia="bs-Latn-BA"/>
              </w:rPr>
              <w:t>Fundraising</w:t>
            </w:r>
          </w:p>
        </w:tc>
        <w:tc>
          <w:tcPr>
            <w:tcW w:w="274" w:type="dxa"/>
            <w:vMerge w:val="restart"/>
            <w:tcBorders>
              <w:top w:val="nil"/>
              <w:left w:val="single" w:sz="4" w:space="0" w:color="FFFFFF"/>
              <w:right w:val="nil"/>
            </w:tcBorders>
            <w:shd w:val="clear" w:color="000000" w:fill="FFFFFF"/>
            <w:tcMar>
              <w:left w:w="57" w:type="dxa"/>
              <w:right w:w="57" w:type="dxa"/>
            </w:tcMar>
            <w:vAlign w:val="bottom"/>
            <w:hideMark/>
          </w:tcPr>
          <w:p w14:paraId="1057BC87" w14:textId="77777777" w:rsidR="009838A9" w:rsidRPr="00227AD5" w:rsidRDefault="009838A9" w:rsidP="00D0235A">
            <w:pPr>
              <w:spacing w:after="0" w:line="240" w:lineRule="auto"/>
              <w:rPr>
                <w:rFonts w:ascii="Calibri" w:eastAsia="Times New Roman" w:hAnsi="Calibri" w:cs="Times New Roman"/>
                <w:color w:val="000000"/>
                <w:sz w:val="18"/>
                <w:szCs w:val="18"/>
                <w:lang w:val="en-GB" w:eastAsia="bs-Latn-BA"/>
              </w:rPr>
            </w:pPr>
            <w:r w:rsidRPr="00227AD5">
              <w:rPr>
                <w:rFonts w:ascii="Calibri" w:eastAsia="Times New Roman" w:hAnsi="Calibri" w:cs="Times New Roman"/>
                <w:color w:val="000000"/>
                <w:sz w:val="18"/>
                <w:szCs w:val="18"/>
                <w:lang w:val="en-GB" w:eastAsia="bs-Latn-BA"/>
              </w:rPr>
              <w:t> </w:t>
            </w:r>
          </w:p>
          <w:p w14:paraId="10E8508D" w14:textId="77777777" w:rsidR="009838A9" w:rsidRPr="00227AD5" w:rsidRDefault="009838A9" w:rsidP="00D0235A">
            <w:pPr>
              <w:spacing w:after="0" w:line="240" w:lineRule="auto"/>
              <w:rPr>
                <w:rFonts w:ascii="Calibri" w:eastAsia="Times New Roman" w:hAnsi="Calibri" w:cs="Times New Roman"/>
                <w:color w:val="000000"/>
                <w:sz w:val="18"/>
                <w:szCs w:val="18"/>
                <w:lang w:val="en-GB" w:eastAsia="bs-Latn-BA"/>
              </w:rPr>
            </w:pPr>
            <w:r w:rsidRPr="00227AD5">
              <w:rPr>
                <w:rFonts w:ascii="Calibri" w:eastAsia="Times New Roman" w:hAnsi="Calibri" w:cs="Times New Roman"/>
                <w:color w:val="000000"/>
                <w:sz w:val="18"/>
                <w:szCs w:val="18"/>
                <w:lang w:val="en-GB" w:eastAsia="bs-Latn-BA"/>
              </w:rPr>
              <w:t> </w:t>
            </w:r>
          </w:p>
          <w:p w14:paraId="3B66EBF8" w14:textId="77777777" w:rsidR="009838A9" w:rsidRPr="00227AD5" w:rsidRDefault="009838A9" w:rsidP="00D0235A">
            <w:pPr>
              <w:spacing w:after="0" w:line="240" w:lineRule="auto"/>
              <w:rPr>
                <w:rFonts w:ascii="Calibri" w:eastAsia="Times New Roman" w:hAnsi="Calibri" w:cs="Times New Roman"/>
                <w:color w:val="000000"/>
                <w:sz w:val="18"/>
                <w:szCs w:val="18"/>
                <w:lang w:val="en-GB" w:eastAsia="bs-Latn-BA"/>
              </w:rPr>
            </w:pPr>
            <w:r w:rsidRPr="00227AD5">
              <w:rPr>
                <w:rFonts w:ascii="Calibri" w:eastAsia="Times New Roman" w:hAnsi="Calibri" w:cs="Times New Roman"/>
                <w:color w:val="000000"/>
                <w:sz w:val="18"/>
                <w:szCs w:val="18"/>
                <w:lang w:val="en-GB" w:eastAsia="bs-Latn-BA"/>
              </w:rPr>
              <w:t> </w:t>
            </w:r>
          </w:p>
        </w:tc>
        <w:tc>
          <w:tcPr>
            <w:tcW w:w="7680" w:type="dxa"/>
            <w:tcBorders>
              <w:top w:val="single" w:sz="4" w:space="0" w:color="auto"/>
              <w:left w:val="single" w:sz="4" w:space="0" w:color="auto"/>
              <w:bottom w:val="dotted" w:sz="4" w:space="0" w:color="auto"/>
              <w:right w:val="single" w:sz="4" w:space="0" w:color="000000"/>
            </w:tcBorders>
            <w:shd w:val="clear" w:color="auto" w:fill="DBE5F1"/>
            <w:tcMar>
              <w:left w:w="57" w:type="dxa"/>
              <w:right w:w="57" w:type="dxa"/>
            </w:tcMar>
            <w:vAlign w:val="bottom"/>
            <w:hideMark/>
          </w:tcPr>
          <w:p w14:paraId="76774C27" w14:textId="77777777" w:rsidR="009838A9" w:rsidRPr="00227AD5" w:rsidRDefault="009838A9" w:rsidP="00D0235A">
            <w:pPr>
              <w:spacing w:after="0" w:line="240" w:lineRule="auto"/>
              <w:jc w:val="center"/>
              <w:rPr>
                <w:rFonts w:ascii="Calibri" w:eastAsia="Times New Roman" w:hAnsi="Calibri" w:cs="Times New Roman"/>
                <w:color w:val="000000"/>
                <w:sz w:val="18"/>
                <w:szCs w:val="18"/>
                <w:lang w:val="en-GB" w:eastAsia="bs-Latn-BA"/>
              </w:rPr>
            </w:pPr>
            <w:r w:rsidRPr="00227AD5">
              <w:rPr>
                <w:rFonts w:ascii="Calibri" w:eastAsia="Times New Roman" w:hAnsi="Calibri" w:cs="Times New Roman"/>
                <w:color w:val="000000"/>
                <w:sz w:val="18"/>
                <w:szCs w:val="18"/>
                <w:lang w:val="en-GB" w:eastAsia="bs-Latn-BA"/>
              </w:rPr>
              <w:t>Funding commitments</w:t>
            </w:r>
          </w:p>
        </w:tc>
      </w:tr>
      <w:tr w:rsidR="009838A9" w:rsidRPr="00227AD5" w14:paraId="31253D1D" w14:textId="77777777" w:rsidTr="00D0235A">
        <w:trPr>
          <w:trHeight w:val="1180"/>
        </w:trPr>
        <w:tc>
          <w:tcPr>
            <w:tcW w:w="959" w:type="dxa"/>
            <w:vMerge/>
            <w:tcBorders>
              <w:top w:val="single" w:sz="4" w:space="0" w:color="FFFFFF"/>
              <w:left w:val="single" w:sz="4" w:space="0" w:color="FFFFFF"/>
              <w:bottom w:val="single" w:sz="4" w:space="0" w:color="FFFFFF"/>
              <w:right w:val="single" w:sz="4" w:space="0" w:color="FFFFFF"/>
            </w:tcBorders>
            <w:shd w:val="clear" w:color="auto" w:fill="4F81BD"/>
            <w:tcMar>
              <w:left w:w="57" w:type="dxa"/>
              <w:right w:w="57" w:type="dxa"/>
            </w:tcMar>
            <w:vAlign w:val="center"/>
            <w:hideMark/>
          </w:tcPr>
          <w:p w14:paraId="054EEEEB" w14:textId="77777777" w:rsidR="009838A9" w:rsidRPr="00227AD5" w:rsidRDefault="009838A9" w:rsidP="00D0235A">
            <w:pPr>
              <w:spacing w:after="0" w:line="240" w:lineRule="auto"/>
              <w:rPr>
                <w:rFonts w:ascii="Calibri" w:eastAsia="Times New Roman" w:hAnsi="Calibri" w:cs="Times New Roman"/>
                <w:b/>
                <w:bCs/>
                <w:color w:val="000000"/>
                <w:sz w:val="18"/>
                <w:szCs w:val="18"/>
                <w:lang w:val="en-GB" w:eastAsia="bs-Latn-BA"/>
              </w:rPr>
            </w:pPr>
          </w:p>
        </w:tc>
        <w:tc>
          <w:tcPr>
            <w:tcW w:w="274" w:type="dxa"/>
            <w:vMerge/>
            <w:tcBorders>
              <w:left w:val="single" w:sz="4" w:space="0" w:color="FFFFFF"/>
              <w:bottom w:val="nil"/>
              <w:right w:val="nil"/>
            </w:tcBorders>
            <w:shd w:val="clear" w:color="000000" w:fill="FFFFFF"/>
            <w:tcMar>
              <w:left w:w="57" w:type="dxa"/>
              <w:right w:w="57" w:type="dxa"/>
            </w:tcMar>
            <w:vAlign w:val="bottom"/>
            <w:hideMark/>
          </w:tcPr>
          <w:p w14:paraId="4030645E" w14:textId="77777777" w:rsidR="009838A9" w:rsidRPr="00227AD5" w:rsidRDefault="009838A9" w:rsidP="00D0235A">
            <w:pPr>
              <w:spacing w:after="0" w:line="240" w:lineRule="auto"/>
              <w:rPr>
                <w:rFonts w:ascii="Calibri" w:eastAsia="Times New Roman" w:hAnsi="Calibri" w:cs="Times New Roman"/>
                <w:color w:val="000000"/>
                <w:sz w:val="18"/>
                <w:szCs w:val="18"/>
                <w:lang w:val="en-GB" w:eastAsia="bs-Latn-BA"/>
              </w:rPr>
            </w:pPr>
          </w:p>
        </w:tc>
        <w:tc>
          <w:tcPr>
            <w:tcW w:w="7680" w:type="dxa"/>
            <w:vMerge w:val="restart"/>
            <w:tcBorders>
              <w:top w:val="dotted" w:sz="4" w:space="0" w:color="auto"/>
              <w:left w:val="single" w:sz="4" w:space="0" w:color="auto"/>
              <w:bottom w:val="single" w:sz="4" w:space="0" w:color="auto"/>
              <w:right w:val="single" w:sz="4" w:space="0" w:color="auto"/>
            </w:tcBorders>
            <w:shd w:val="clear" w:color="000000" w:fill="FFFFFF"/>
            <w:tcMar>
              <w:left w:w="57" w:type="dxa"/>
              <w:right w:w="57" w:type="dxa"/>
            </w:tcMar>
            <w:vAlign w:val="center"/>
            <w:hideMark/>
          </w:tcPr>
          <w:p w14:paraId="1B87506E" w14:textId="77777777" w:rsidR="009838A9" w:rsidRPr="00227AD5" w:rsidRDefault="009838A9" w:rsidP="00D0235A">
            <w:pPr>
              <w:spacing w:after="0" w:line="240" w:lineRule="auto"/>
              <w:jc w:val="center"/>
              <w:rPr>
                <w:rFonts w:ascii="Calibri" w:eastAsia="Times New Roman" w:hAnsi="Calibri" w:cs="Times New Roman"/>
                <w:color w:val="000000"/>
                <w:sz w:val="18"/>
                <w:szCs w:val="18"/>
                <w:lang w:val="en-GB" w:eastAsia="bs-Latn-BA"/>
              </w:rPr>
            </w:pPr>
            <w:r w:rsidRPr="00227AD5">
              <w:rPr>
                <w:rFonts w:ascii="Calibri" w:eastAsia="Times New Roman" w:hAnsi="Calibri" w:cs="Times New Roman"/>
                <w:noProof/>
                <w:color w:val="000000"/>
                <w:sz w:val="18"/>
                <w:szCs w:val="18"/>
              </w:rPr>
              <mc:AlternateContent>
                <mc:Choice Requires="wps">
                  <w:drawing>
                    <wp:anchor distT="0" distB="0" distL="114300" distR="114300" simplePos="0" relativeHeight="251663360" behindDoc="0" locked="0" layoutInCell="1" allowOverlap="1" wp14:anchorId="67FF127D" wp14:editId="3F752D1C">
                      <wp:simplePos x="0" y="0"/>
                      <wp:positionH relativeFrom="column">
                        <wp:posOffset>2333625</wp:posOffset>
                      </wp:positionH>
                      <wp:positionV relativeFrom="paragraph">
                        <wp:posOffset>561340</wp:posOffset>
                      </wp:positionV>
                      <wp:extent cx="566420" cy="115570"/>
                      <wp:effectExtent l="0" t="0" r="0" b="0"/>
                      <wp:wrapNone/>
                      <wp:docPr id="1" name="Down Arrow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6420" cy="115570"/>
                              </a:xfrm>
                              <a:prstGeom prst="downArrow">
                                <a:avLst>
                                  <a:gd name="adj1" fmla="val 50000"/>
                                  <a:gd name="adj2" fmla="val 100000"/>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48B5B92" id="Down Arrow 14" o:spid="_x0000_s1026" type="#_x0000_t67" style="position:absolute;margin-left:183.75pt;margin-top:44.2pt;width:44.6pt;height: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" adj="0" fillcolor="#4f81bd" stroked="f" strokeweight="2pt">
                      <v:path arrowok="t"/>
                    </v:shape>
                  </w:pict>
                </mc:Fallback>
              </mc:AlternateContent>
            </w:r>
            <w:r w:rsidRPr="00227AD5">
              <w:rPr>
                <w:rFonts w:ascii="Calibri" w:eastAsia="Times New Roman" w:hAnsi="Calibri" w:cs="Times New Roman"/>
                <w:color w:val="000000"/>
                <w:sz w:val="18"/>
                <w:szCs w:val="18"/>
                <w:lang w:val="en-GB" w:eastAsia="bs-Latn-BA"/>
              </w:rPr>
              <w:t xml:space="preserve">Secure funding for regional projects and organise a donor meeting to confirm commitments and enhance coordination                                                                                              </w:t>
            </w:r>
          </w:p>
        </w:tc>
      </w:tr>
      <w:tr w:rsidR="009838A9" w:rsidRPr="00227AD5" w14:paraId="14CED471" w14:textId="77777777" w:rsidTr="00D0235A">
        <w:trPr>
          <w:trHeight w:val="202"/>
        </w:trPr>
        <w:tc>
          <w:tcPr>
            <w:tcW w:w="959" w:type="dxa"/>
            <w:vMerge/>
            <w:tcBorders>
              <w:top w:val="single" w:sz="4" w:space="0" w:color="FFFFFF"/>
              <w:left w:val="single" w:sz="4" w:space="0" w:color="FFFFFF"/>
              <w:bottom w:val="single" w:sz="4" w:space="0" w:color="FFFFFF"/>
              <w:right w:val="single" w:sz="4" w:space="0" w:color="FFFFFF"/>
            </w:tcBorders>
            <w:shd w:val="clear" w:color="auto" w:fill="4F81BD"/>
            <w:tcMar>
              <w:left w:w="57" w:type="dxa"/>
              <w:right w:w="57" w:type="dxa"/>
            </w:tcMar>
            <w:vAlign w:val="center"/>
            <w:hideMark/>
          </w:tcPr>
          <w:p w14:paraId="7CA6615D" w14:textId="77777777" w:rsidR="009838A9" w:rsidRPr="00227AD5" w:rsidRDefault="009838A9" w:rsidP="00D0235A">
            <w:pPr>
              <w:spacing w:after="0" w:line="240" w:lineRule="auto"/>
              <w:rPr>
                <w:rFonts w:ascii="Calibri" w:eastAsia="Times New Roman" w:hAnsi="Calibri" w:cs="Times New Roman"/>
                <w:b/>
                <w:bCs/>
                <w:color w:val="000000"/>
                <w:sz w:val="18"/>
                <w:szCs w:val="18"/>
                <w:lang w:val="en-GB" w:eastAsia="bs-Latn-BA"/>
              </w:rPr>
            </w:pPr>
          </w:p>
        </w:tc>
        <w:tc>
          <w:tcPr>
            <w:tcW w:w="274" w:type="dxa"/>
            <w:tcBorders>
              <w:top w:val="nil"/>
              <w:left w:val="single" w:sz="4" w:space="0" w:color="FFFFFF"/>
              <w:bottom w:val="nil"/>
              <w:right w:val="single" w:sz="4" w:space="0" w:color="auto"/>
            </w:tcBorders>
            <w:shd w:val="clear" w:color="000000" w:fill="FFFFFF"/>
            <w:tcMar>
              <w:left w:w="57" w:type="dxa"/>
              <w:right w:w="57" w:type="dxa"/>
            </w:tcMar>
            <w:vAlign w:val="bottom"/>
            <w:hideMark/>
          </w:tcPr>
          <w:p w14:paraId="15F23934" w14:textId="77777777" w:rsidR="009838A9" w:rsidRPr="00227AD5" w:rsidRDefault="009838A9" w:rsidP="00D0235A">
            <w:pPr>
              <w:spacing w:after="0" w:line="240" w:lineRule="auto"/>
              <w:rPr>
                <w:rFonts w:ascii="Calibri" w:eastAsia="Times New Roman" w:hAnsi="Calibri" w:cs="Times New Roman"/>
                <w:color w:val="000000"/>
                <w:sz w:val="18"/>
                <w:szCs w:val="18"/>
                <w:lang w:val="en-GB" w:eastAsia="bs-Latn-BA"/>
              </w:rPr>
            </w:pPr>
            <w:r w:rsidRPr="00227AD5">
              <w:rPr>
                <w:rFonts w:ascii="Calibri" w:eastAsia="Times New Roman" w:hAnsi="Calibri" w:cs="Times New Roman"/>
                <w:color w:val="000000"/>
                <w:sz w:val="18"/>
                <w:szCs w:val="18"/>
                <w:lang w:val="en-GB" w:eastAsia="bs-Latn-BA"/>
              </w:rPr>
              <w:t> </w:t>
            </w:r>
          </w:p>
        </w:tc>
        <w:tc>
          <w:tcPr>
            <w:tcW w:w="7680"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088942A8" w14:textId="77777777" w:rsidR="009838A9" w:rsidRPr="00227AD5" w:rsidRDefault="009838A9" w:rsidP="00D0235A">
            <w:pPr>
              <w:spacing w:after="0" w:line="240" w:lineRule="auto"/>
              <w:rPr>
                <w:rFonts w:ascii="Calibri" w:eastAsia="Times New Roman" w:hAnsi="Calibri" w:cs="Times New Roman"/>
                <w:color w:val="000000"/>
                <w:sz w:val="18"/>
                <w:szCs w:val="18"/>
                <w:lang w:val="en-GB" w:eastAsia="bs-Latn-BA"/>
              </w:rPr>
            </w:pPr>
          </w:p>
        </w:tc>
      </w:tr>
      <w:tr w:rsidR="009838A9" w:rsidRPr="00227AD5" w14:paraId="7F7ADBF0" w14:textId="77777777" w:rsidTr="00D0235A">
        <w:trPr>
          <w:trHeight w:val="202"/>
        </w:trPr>
        <w:tc>
          <w:tcPr>
            <w:tcW w:w="959" w:type="dxa"/>
            <w:vMerge w:val="restart"/>
            <w:tcBorders>
              <w:top w:val="single" w:sz="4" w:space="0" w:color="FFFFFF"/>
              <w:left w:val="single" w:sz="4" w:space="0" w:color="FFFFFF"/>
              <w:right w:val="single" w:sz="4" w:space="0" w:color="FFFFFF"/>
            </w:tcBorders>
            <w:shd w:val="clear" w:color="auto" w:fill="4F81BD"/>
            <w:tcMar>
              <w:left w:w="57" w:type="dxa"/>
              <w:right w:w="57" w:type="dxa"/>
            </w:tcMar>
            <w:textDirection w:val="btLr"/>
            <w:vAlign w:val="center"/>
          </w:tcPr>
          <w:p w14:paraId="5DB8A95F" w14:textId="77777777" w:rsidR="009838A9" w:rsidRPr="00227AD5" w:rsidRDefault="009838A9" w:rsidP="00D0235A">
            <w:pPr>
              <w:spacing w:after="0" w:line="240" w:lineRule="auto"/>
              <w:ind w:left="113" w:right="113"/>
              <w:jc w:val="center"/>
              <w:rPr>
                <w:rFonts w:ascii="Calibri" w:eastAsia="Times New Roman" w:hAnsi="Calibri" w:cs="Times New Roman"/>
                <w:b/>
                <w:bCs/>
                <w:color w:val="FFFFFF"/>
                <w:sz w:val="18"/>
                <w:szCs w:val="18"/>
                <w:lang w:val="en-GB" w:eastAsia="bs-Latn-BA"/>
              </w:rPr>
            </w:pPr>
            <w:r w:rsidRPr="00227AD5">
              <w:rPr>
                <w:rFonts w:ascii="Calibri" w:eastAsia="Times New Roman" w:hAnsi="Calibri" w:cs="Times New Roman"/>
                <w:b/>
                <w:bCs/>
                <w:color w:val="FFFFFF"/>
                <w:sz w:val="18"/>
                <w:szCs w:val="18"/>
                <w:lang w:val="en-GB" w:eastAsia="bs-Latn-BA"/>
              </w:rPr>
              <w:t>Monitoring and Evaluation</w:t>
            </w:r>
          </w:p>
        </w:tc>
        <w:tc>
          <w:tcPr>
            <w:tcW w:w="274" w:type="dxa"/>
            <w:tcBorders>
              <w:top w:val="nil"/>
              <w:left w:val="single" w:sz="4" w:space="0" w:color="FFFFFF"/>
              <w:bottom w:val="nil"/>
              <w:right w:val="single" w:sz="4" w:space="0" w:color="auto"/>
            </w:tcBorders>
            <w:shd w:val="clear" w:color="000000" w:fill="FFFFFF"/>
            <w:tcMar>
              <w:left w:w="57" w:type="dxa"/>
              <w:right w:w="57" w:type="dxa"/>
            </w:tcMar>
            <w:vAlign w:val="bottom"/>
          </w:tcPr>
          <w:p w14:paraId="104695CE" w14:textId="77777777" w:rsidR="009838A9" w:rsidRPr="00227AD5" w:rsidRDefault="009838A9" w:rsidP="00D0235A">
            <w:pPr>
              <w:spacing w:after="0" w:line="240" w:lineRule="auto"/>
              <w:rPr>
                <w:rFonts w:ascii="Calibri" w:eastAsia="Times New Roman" w:hAnsi="Calibri" w:cs="Times New Roman"/>
                <w:color w:val="000000"/>
                <w:sz w:val="18"/>
                <w:szCs w:val="18"/>
                <w:lang w:val="en-GB" w:eastAsia="bs-Latn-BA"/>
              </w:rPr>
            </w:pPr>
          </w:p>
        </w:tc>
        <w:tc>
          <w:tcPr>
            <w:tcW w:w="7680" w:type="dxa"/>
            <w:vMerge w:val="restart"/>
            <w:tcBorders>
              <w:top w:val="single" w:sz="4" w:space="0" w:color="auto"/>
              <w:left w:val="single" w:sz="4" w:space="0" w:color="auto"/>
              <w:right w:val="single" w:sz="4" w:space="0" w:color="auto"/>
            </w:tcBorders>
            <w:shd w:val="clear" w:color="auto" w:fill="C6D9F1"/>
            <w:tcMar>
              <w:left w:w="57" w:type="dxa"/>
              <w:right w:w="57" w:type="dxa"/>
            </w:tcMar>
            <w:vAlign w:val="center"/>
          </w:tcPr>
          <w:p w14:paraId="7EEDAFB6" w14:textId="77777777" w:rsidR="009838A9" w:rsidRPr="00227AD5" w:rsidRDefault="009838A9" w:rsidP="00D0235A">
            <w:pPr>
              <w:spacing w:after="0" w:line="240" w:lineRule="auto"/>
              <w:jc w:val="center"/>
              <w:rPr>
                <w:rFonts w:ascii="Calibri" w:eastAsia="Times New Roman" w:hAnsi="Calibri" w:cs="Times New Roman"/>
                <w:color w:val="000000"/>
                <w:sz w:val="18"/>
                <w:szCs w:val="18"/>
                <w:lang w:val="en-GB" w:eastAsia="bs-Latn-BA"/>
              </w:rPr>
            </w:pPr>
            <w:r w:rsidRPr="00227AD5">
              <w:rPr>
                <w:rFonts w:ascii="Calibri" w:eastAsia="Times New Roman" w:hAnsi="Calibri" w:cs="Times New Roman"/>
                <w:color w:val="000000"/>
                <w:sz w:val="18"/>
                <w:szCs w:val="18"/>
                <w:lang w:val="en-GB" w:eastAsia="bs-Latn-BA"/>
              </w:rPr>
              <w:t>Monitoring and Evaluation</w:t>
            </w:r>
          </w:p>
        </w:tc>
      </w:tr>
      <w:tr w:rsidR="009838A9" w:rsidRPr="00227AD5" w14:paraId="012C3502" w14:textId="77777777" w:rsidTr="00D0235A">
        <w:trPr>
          <w:trHeight w:val="202"/>
        </w:trPr>
        <w:tc>
          <w:tcPr>
            <w:tcW w:w="959" w:type="dxa"/>
            <w:vMerge/>
            <w:tcBorders>
              <w:left w:val="single" w:sz="4" w:space="0" w:color="FFFFFF"/>
              <w:right w:val="single" w:sz="4" w:space="0" w:color="FFFFFF"/>
            </w:tcBorders>
            <w:shd w:val="clear" w:color="auto" w:fill="4F81BD"/>
            <w:tcMar>
              <w:left w:w="57" w:type="dxa"/>
              <w:right w:w="57" w:type="dxa"/>
            </w:tcMar>
            <w:vAlign w:val="center"/>
          </w:tcPr>
          <w:p w14:paraId="27548C16" w14:textId="77777777" w:rsidR="009838A9" w:rsidRPr="00227AD5" w:rsidRDefault="009838A9" w:rsidP="00D0235A">
            <w:pPr>
              <w:spacing w:after="0" w:line="240" w:lineRule="auto"/>
              <w:rPr>
                <w:rFonts w:ascii="Calibri" w:eastAsia="Times New Roman" w:hAnsi="Calibri" w:cs="Times New Roman"/>
                <w:b/>
                <w:bCs/>
                <w:color w:val="000000"/>
                <w:sz w:val="18"/>
                <w:szCs w:val="18"/>
                <w:lang w:val="en-GB" w:eastAsia="bs-Latn-BA"/>
              </w:rPr>
            </w:pPr>
          </w:p>
        </w:tc>
        <w:tc>
          <w:tcPr>
            <w:tcW w:w="274" w:type="dxa"/>
            <w:tcBorders>
              <w:top w:val="nil"/>
              <w:left w:val="single" w:sz="4" w:space="0" w:color="FFFFFF"/>
              <w:bottom w:val="nil"/>
              <w:right w:val="single" w:sz="4" w:space="0" w:color="auto"/>
            </w:tcBorders>
            <w:shd w:val="clear" w:color="000000" w:fill="FFFFFF"/>
            <w:tcMar>
              <w:left w:w="57" w:type="dxa"/>
              <w:right w:w="57" w:type="dxa"/>
            </w:tcMar>
            <w:vAlign w:val="bottom"/>
          </w:tcPr>
          <w:p w14:paraId="718EF23E" w14:textId="77777777" w:rsidR="009838A9" w:rsidRPr="00227AD5" w:rsidRDefault="009838A9" w:rsidP="00D0235A">
            <w:pPr>
              <w:spacing w:after="0" w:line="240" w:lineRule="auto"/>
              <w:rPr>
                <w:rFonts w:ascii="Calibri" w:eastAsia="Times New Roman" w:hAnsi="Calibri" w:cs="Times New Roman"/>
                <w:color w:val="000000"/>
                <w:sz w:val="18"/>
                <w:szCs w:val="18"/>
                <w:lang w:val="en-GB" w:eastAsia="bs-Latn-BA"/>
              </w:rPr>
            </w:pPr>
          </w:p>
        </w:tc>
        <w:tc>
          <w:tcPr>
            <w:tcW w:w="7680" w:type="dxa"/>
            <w:vMerge/>
            <w:tcBorders>
              <w:left w:val="single" w:sz="4" w:space="0" w:color="auto"/>
              <w:bottom w:val="single" w:sz="4" w:space="0" w:color="auto"/>
              <w:right w:val="single" w:sz="4" w:space="0" w:color="auto"/>
            </w:tcBorders>
            <w:shd w:val="clear" w:color="auto" w:fill="C6D9F1"/>
            <w:tcMar>
              <w:left w:w="57" w:type="dxa"/>
              <w:right w:w="57" w:type="dxa"/>
            </w:tcMar>
            <w:vAlign w:val="center"/>
          </w:tcPr>
          <w:p w14:paraId="13F034F4" w14:textId="77777777" w:rsidR="009838A9" w:rsidRPr="00227AD5" w:rsidRDefault="009838A9" w:rsidP="00D0235A">
            <w:pPr>
              <w:spacing w:after="0" w:line="240" w:lineRule="auto"/>
              <w:rPr>
                <w:rFonts w:ascii="Calibri" w:eastAsia="Times New Roman" w:hAnsi="Calibri" w:cs="Times New Roman"/>
                <w:color w:val="000000"/>
                <w:sz w:val="18"/>
                <w:szCs w:val="18"/>
                <w:lang w:val="en-GB" w:eastAsia="bs-Latn-BA"/>
              </w:rPr>
            </w:pPr>
          </w:p>
        </w:tc>
      </w:tr>
      <w:tr w:rsidR="009838A9" w:rsidRPr="00227AD5" w14:paraId="0CA7B9D1" w14:textId="77777777" w:rsidTr="00D0235A">
        <w:trPr>
          <w:trHeight w:val="202"/>
        </w:trPr>
        <w:tc>
          <w:tcPr>
            <w:tcW w:w="959" w:type="dxa"/>
            <w:vMerge/>
            <w:tcBorders>
              <w:left w:val="single" w:sz="4" w:space="0" w:color="FFFFFF"/>
              <w:right w:val="single" w:sz="4" w:space="0" w:color="FFFFFF"/>
            </w:tcBorders>
            <w:shd w:val="clear" w:color="auto" w:fill="4F81BD"/>
            <w:tcMar>
              <w:left w:w="57" w:type="dxa"/>
              <w:right w:w="57" w:type="dxa"/>
            </w:tcMar>
            <w:vAlign w:val="center"/>
          </w:tcPr>
          <w:p w14:paraId="17FA4254" w14:textId="77777777" w:rsidR="009838A9" w:rsidRPr="00227AD5" w:rsidRDefault="009838A9" w:rsidP="00D0235A">
            <w:pPr>
              <w:spacing w:after="0" w:line="240" w:lineRule="auto"/>
              <w:rPr>
                <w:rFonts w:ascii="Calibri" w:eastAsia="Times New Roman" w:hAnsi="Calibri" w:cs="Times New Roman"/>
                <w:b/>
                <w:bCs/>
                <w:color w:val="000000"/>
                <w:sz w:val="18"/>
                <w:szCs w:val="18"/>
                <w:lang w:val="en-GB" w:eastAsia="bs-Latn-BA"/>
              </w:rPr>
            </w:pPr>
          </w:p>
        </w:tc>
        <w:tc>
          <w:tcPr>
            <w:tcW w:w="274" w:type="dxa"/>
            <w:tcBorders>
              <w:top w:val="nil"/>
              <w:left w:val="single" w:sz="4" w:space="0" w:color="FFFFFF"/>
              <w:bottom w:val="nil"/>
              <w:right w:val="single" w:sz="4" w:space="0" w:color="auto"/>
            </w:tcBorders>
            <w:shd w:val="clear" w:color="000000" w:fill="FFFFFF"/>
            <w:tcMar>
              <w:left w:w="57" w:type="dxa"/>
              <w:right w:w="57" w:type="dxa"/>
            </w:tcMar>
            <w:vAlign w:val="bottom"/>
          </w:tcPr>
          <w:p w14:paraId="76CF579F" w14:textId="77777777" w:rsidR="009838A9" w:rsidRPr="00227AD5" w:rsidRDefault="009838A9" w:rsidP="00D0235A">
            <w:pPr>
              <w:spacing w:after="0" w:line="240" w:lineRule="auto"/>
              <w:rPr>
                <w:rFonts w:ascii="Calibri" w:eastAsia="Times New Roman" w:hAnsi="Calibri" w:cs="Times New Roman"/>
                <w:color w:val="000000"/>
                <w:sz w:val="18"/>
                <w:szCs w:val="18"/>
                <w:lang w:val="en-GB" w:eastAsia="bs-Latn-BA"/>
              </w:rPr>
            </w:pPr>
          </w:p>
        </w:tc>
        <w:tc>
          <w:tcPr>
            <w:tcW w:w="7680" w:type="dxa"/>
            <w:vMerge w:val="restart"/>
            <w:tcBorders>
              <w:top w:val="single" w:sz="4" w:space="0" w:color="auto"/>
              <w:left w:val="single" w:sz="4" w:space="0" w:color="auto"/>
              <w:right w:val="single" w:sz="4" w:space="0" w:color="auto"/>
            </w:tcBorders>
            <w:tcMar>
              <w:left w:w="57" w:type="dxa"/>
              <w:right w:w="57" w:type="dxa"/>
            </w:tcMar>
          </w:tcPr>
          <w:p w14:paraId="0B616291" w14:textId="77777777" w:rsidR="009838A9" w:rsidRPr="00227AD5" w:rsidRDefault="009838A9" w:rsidP="00D0235A">
            <w:pPr>
              <w:spacing w:after="0" w:line="240" w:lineRule="auto"/>
              <w:jc w:val="center"/>
              <w:rPr>
                <w:rFonts w:ascii="Calibri" w:eastAsia="Calibri" w:hAnsi="Calibri" w:cs="Calibri"/>
                <w:bCs/>
                <w:sz w:val="18"/>
                <w:szCs w:val="18"/>
                <w:lang w:val="en-GB"/>
              </w:rPr>
            </w:pPr>
          </w:p>
          <w:p w14:paraId="320F10D8" w14:textId="77777777" w:rsidR="009838A9" w:rsidRPr="00227AD5" w:rsidRDefault="009838A9" w:rsidP="00D0235A">
            <w:pPr>
              <w:spacing w:after="0" w:line="240" w:lineRule="auto"/>
              <w:jc w:val="center"/>
              <w:rPr>
                <w:rFonts w:ascii="Calibri" w:eastAsia="Times New Roman" w:hAnsi="Calibri" w:cs="Times New Roman"/>
                <w:color w:val="000000"/>
                <w:sz w:val="18"/>
                <w:szCs w:val="18"/>
                <w:lang w:val="en-GB" w:eastAsia="bs-Latn-BA"/>
              </w:rPr>
            </w:pPr>
            <w:r w:rsidRPr="00227AD5">
              <w:rPr>
                <w:rFonts w:ascii="Calibri" w:eastAsia="Calibri" w:hAnsi="Calibri" w:cs="Calibri"/>
                <w:bCs/>
                <w:sz w:val="18"/>
                <w:szCs w:val="18"/>
                <w:lang w:val="en-GB"/>
              </w:rPr>
              <w:t>Feedback to the programming cycles and help adjusting the programming priorities</w:t>
            </w:r>
          </w:p>
          <w:p w14:paraId="070602D8" w14:textId="77777777" w:rsidR="009838A9" w:rsidRPr="00227AD5" w:rsidRDefault="009838A9" w:rsidP="00D0235A">
            <w:pPr>
              <w:spacing w:after="0" w:line="240" w:lineRule="auto"/>
              <w:jc w:val="center"/>
              <w:rPr>
                <w:rFonts w:ascii="Calibri" w:eastAsia="Times New Roman" w:hAnsi="Calibri" w:cs="Times New Roman"/>
                <w:color w:val="000000"/>
                <w:sz w:val="18"/>
                <w:szCs w:val="18"/>
                <w:lang w:val="en-GB" w:eastAsia="bs-Latn-BA"/>
              </w:rPr>
            </w:pPr>
            <w:r w:rsidRPr="00227AD5">
              <w:rPr>
                <w:rFonts w:ascii="Calibri" w:eastAsia="Calibri" w:hAnsi="Calibri" w:cs="Calibri"/>
                <w:bCs/>
                <w:sz w:val="18"/>
                <w:szCs w:val="18"/>
                <w:lang w:val="en-GB"/>
              </w:rPr>
              <w:t>of the Strategy</w:t>
            </w:r>
          </w:p>
        </w:tc>
      </w:tr>
      <w:tr w:rsidR="009838A9" w:rsidRPr="00227AD5" w14:paraId="5B9495F8" w14:textId="77777777" w:rsidTr="00D0235A">
        <w:trPr>
          <w:trHeight w:val="202"/>
        </w:trPr>
        <w:tc>
          <w:tcPr>
            <w:tcW w:w="959" w:type="dxa"/>
            <w:vMerge/>
            <w:tcBorders>
              <w:left w:val="single" w:sz="4" w:space="0" w:color="FFFFFF"/>
              <w:right w:val="single" w:sz="4" w:space="0" w:color="FFFFFF"/>
            </w:tcBorders>
            <w:shd w:val="clear" w:color="auto" w:fill="4F81BD"/>
            <w:tcMar>
              <w:left w:w="57" w:type="dxa"/>
              <w:right w:w="57" w:type="dxa"/>
            </w:tcMar>
            <w:vAlign w:val="center"/>
          </w:tcPr>
          <w:p w14:paraId="199033E3" w14:textId="77777777" w:rsidR="009838A9" w:rsidRPr="00227AD5" w:rsidRDefault="009838A9" w:rsidP="00D0235A">
            <w:pPr>
              <w:spacing w:after="0" w:line="240" w:lineRule="auto"/>
              <w:rPr>
                <w:rFonts w:ascii="Calibri" w:eastAsia="Times New Roman" w:hAnsi="Calibri" w:cs="Times New Roman"/>
                <w:b/>
                <w:bCs/>
                <w:color w:val="000000"/>
                <w:sz w:val="18"/>
                <w:szCs w:val="18"/>
                <w:lang w:val="en-GB" w:eastAsia="bs-Latn-BA"/>
              </w:rPr>
            </w:pPr>
          </w:p>
        </w:tc>
        <w:tc>
          <w:tcPr>
            <w:tcW w:w="274" w:type="dxa"/>
            <w:tcBorders>
              <w:top w:val="nil"/>
              <w:left w:val="single" w:sz="4" w:space="0" w:color="FFFFFF"/>
              <w:bottom w:val="nil"/>
              <w:right w:val="single" w:sz="4" w:space="0" w:color="auto"/>
            </w:tcBorders>
            <w:shd w:val="clear" w:color="000000" w:fill="FFFFFF"/>
            <w:tcMar>
              <w:left w:w="57" w:type="dxa"/>
              <w:right w:w="57" w:type="dxa"/>
            </w:tcMar>
            <w:vAlign w:val="bottom"/>
          </w:tcPr>
          <w:p w14:paraId="4C233E57" w14:textId="77777777" w:rsidR="009838A9" w:rsidRPr="00227AD5" w:rsidRDefault="009838A9" w:rsidP="00D0235A">
            <w:pPr>
              <w:spacing w:after="0" w:line="240" w:lineRule="auto"/>
              <w:rPr>
                <w:rFonts w:ascii="Calibri" w:eastAsia="Times New Roman" w:hAnsi="Calibri" w:cs="Times New Roman"/>
                <w:color w:val="000000"/>
                <w:sz w:val="18"/>
                <w:szCs w:val="18"/>
                <w:lang w:val="en-GB" w:eastAsia="bs-Latn-BA"/>
              </w:rPr>
            </w:pPr>
          </w:p>
        </w:tc>
        <w:tc>
          <w:tcPr>
            <w:tcW w:w="7680" w:type="dxa"/>
            <w:vMerge/>
            <w:tcBorders>
              <w:left w:val="single" w:sz="4" w:space="0" w:color="auto"/>
              <w:right w:val="single" w:sz="4" w:space="0" w:color="auto"/>
            </w:tcBorders>
            <w:tcMar>
              <w:left w:w="57" w:type="dxa"/>
              <w:right w:w="57" w:type="dxa"/>
            </w:tcMar>
            <w:vAlign w:val="center"/>
          </w:tcPr>
          <w:p w14:paraId="7F1B7641" w14:textId="77777777" w:rsidR="009838A9" w:rsidRPr="00227AD5" w:rsidRDefault="009838A9" w:rsidP="00D0235A">
            <w:pPr>
              <w:spacing w:after="0" w:line="240" w:lineRule="auto"/>
              <w:jc w:val="center"/>
              <w:rPr>
                <w:rFonts w:ascii="Calibri" w:eastAsia="Times New Roman" w:hAnsi="Calibri" w:cs="Times New Roman"/>
                <w:color w:val="000000"/>
                <w:sz w:val="18"/>
                <w:szCs w:val="18"/>
                <w:lang w:val="en-GB" w:eastAsia="bs-Latn-BA"/>
              </w:rPr>
            </w:pPr>
          </w:p>
        </w:tc>
      </w:tr>
      <w:tr w:rsidR="009838A9" w:rsidRPr="00227AD5" w14:paraId="28434CC0" w14:textId="77777777" w:rsidTr="00D0235A">
        <w:trPr>
          <w:trHeight w:val="202"/>
        </w:trPr>
        <w:tc>
          <w:tcPr>
            <w:tcW w:w="959" w:type="dxa"/>
            <w:vMerge/>
            <w:tcBorders>
              <w:left w:val="single" w:sz="4" w:space="0" w:color="FFFFFF"/>
              <w:right w:val="single" w:sz="4" w:space="0" w:color="FFFFFF"/>
            </w:tcBorders>
            <w:shd w:val="clear" w:color="auto" w:fill="4F81BD"/>
            <w:tcMar>
              <w:left w:w="57" w:type="dxa"/>
              <w:right w:w="57" w:type="dxa"/>
            </w:tcMar>
            <w:vAlign w:val="center"/>
          </w:tcPr>
          <w:p w14:paraId="6E4A3CC2" w14:textId="77777777" w:rsidR="009838A9" w:rsidRPr="00227AD5" w:rsidRDefault="009838A9" w:rsidP="00D0235A">
            <w:pPr>
              <w:spacing w:after="0" w:line="240" w:lineRule="auto"/>
              <w:rPr>
                <w:rFonts w:ascii="Calibri" w:eastAsia="Times New Roman" w:hAnsi="Calibri" w:cs="Times New Roman"/>
                <w:b/>
                <w:bCs/>
                <w:color w:val="000000"/>
                <w:sz w:val="18"/>
                <w:szCs w:val="18"/>
                <w:lang w:val="en-GB" w:eastAsia="bs-Latn-BA"/>
              </w:rPr>
            </w:pPr>
          </w:p>
        </w:tc>
        <w:tc>
          <w:tcPr>
            <w:tcW w:w="274" w:type="dxa"/>
            <w:tcBorders>
              <w:top w:val="nil"/>
              <w:left w:val="single" w:sz="4" w:space="0" w:color="FFFFFF"/>
              <w:bottom w:val="nil"/>
              <w:right w:val="single" w:sz="4" w:space="0" w:color="auto"/>
            </w:tcBorders>
            <w:shd w:val="clear" w:color="000000" w:fill="FFFFFF"/>
            <w:tcMar>
              <w:left w:w="57" w:type="dxa"/>
              <w:right w:w="57" w:type="dxa"/>
            </w:tcMar>
            <w:vAlign w:val="bottom"/>
          </w:tcPr>
          <w:p w14:paraId="3109CD5F" w14:textId="77777777" w:rsidR="009838A9" w:rsidRPr="00227AD5" w:rsidRDefault="009838A9" w:rsidP="00D0235A">
            <w:pPr>
              <w:spacing w:after="0" w:line="240" w:lineRule="auto"/>
              <w:rPr>
                <w:rFonts w:ascii="Calibri" w:eastAsia="Times New Roman" w:hAnsi="Calibri" w:cs="Times New Roman"/>
                <w:color w:val="000000"/>
                <w:sz w:val="18"/>
                <w:szCs w:val="18"/>
                <w:lang w:val="en-GB" w:eastAsia="bs-Latn-BA"/>
              </w:rPr>
            </w:pPr>
          </w:p>
        </w:tc>
        <w:tc>
          <w:tcPr>
            <w:tcW w:w="7680" w:type="dxa"/>
            <w:vMerge/>
            <w:tcBorders>
              <w:left w:val="single" w:sz="4" w:space="0" w:color="auto"/>
              <w:right w:val="single" w:sz="4" w:space="0" w:color="auto"/>
            </w:tcBorders>
            <w:tcMar>
              <w:left w:w="57" w:type="dxa"/>
              <w:right w:w="57" w:type="dxa"/>
            </w:tcMar>
            <w:vAlign w:val="center"/>
          </w:tcPr>
          <w:p w14:paraId="601888C1" w14:textId="77777777" w:rsidR="009838A9" w:rsidRPr="00227AD5" w:rsidRDefault="009838A9" w:rsidP="00D0235A">
            <w:pPr>
              <w:spacing w:after="0" w:line="240" w:lineRule="auto"/>
              <w:rPr>
                <w:rFonts w:ascii="Calibri" w:eastAsia="Times New Roman" w:hAnsi="Calibri" w:cs="Times New Roman"/>
                <w:color w:val="000000"/>
                <w:sz w:val="18"/>
                <w:szCs w:val="18"/>
                <w:lang w:val="en-GB" w:eastAsia="bs-Latn-BA"/>
              </w:rPr>
            </w:pPr>
          </w:p>
        </w:tc>
      </w:tr>
      <w:tr w:rsidR="009838A9" w:rsidRPr="00227AD5" w14:paraId="4363C38F" w14:textId="77777777" w:rsidTr="00D0235A">
        <w:trPr>
          <w:trHeight w:val="202"/>
        </w:trPr>
        <w:tc>
          <w:tcPr>
            <w:tcW w:w="959" w:type="dxa"/>
            <w:vMerge/>
            <w:tcBorders>
              <w:left w:val="single" w:sz="4" w:space="0" w:color="FFFFFF"/>
              <w:right w:val="single" w:sz="4" w:space="0" w:color="FFFFFF"/>
            </w:tcBorders>
            <w:shd w:val="clear" w:color="auto" w:fill="4F81BD"/>
            <w:tcMar>
              <w:left w:w="57" w:type="dxa"/>
              <w:right w:w="57" w:type="dxa"/>
            </w:tcMar>
            <w:vAlign w:val="center"/>
          </w:tcPr>
          <w:p w14:paraId="38E42629" w14:textId="77777777" w:rsidR="009838A9" w:rsidRPr="00227AD5" w:rsidRDefault="009838A9" w:rsidP="00D0235A">
            <w:pPr>
              <w:spacing w:after="0" w:line="240" w:lineRule="auto"/>
              <w:rPr>
                <w:rFonts w:ascii="Calibri" w:eastAsia="Times New Roman" w:hAnsi="Calibri" w:cs="Times New Roman"/>
                <w:b/>
                <w:bCs/>
                <w:color w:val="000000"/>
                <w:sz w:val="18"/>
                <w:szCs w:val="18"/>
                <w:lang w:val="en-GB" w:eastAsia="bs-Latn-BA"/>
              </w:rPr>
            </w:pPr>
          </w:p>
        </w:tc>
        <w:tc>
          <w:tcPr>
            <w:tcW w:w="274" w:type="dxa"/>
            <w:tcBorders>
              <w:top w:val="nil"/>
              <w:left w:val="single" w:sz="4" w:space="0" w:color="FFFFFF"/>
              <w:bottom w:val="nil"/>
              <w:right w:val="single" w:sz="4" w:space="0" w:color="auto"/>
            </w:tcBorders>
            <w:shd w:val="clear" w:color="000000" w:fill="FFFFFF"/>
            <w:tcMar>
              <w:left w:w="57" w:type="dxa"/>
              <w:right w:w="57" w:type="dxa"/>
            </w:tcMar>
            <w:vAlign w:val="bottom"/>
          </w:tcPr>
          <w:p w14:paraId="2398C684" w14:textId="77777777" w:rsidR="009838A9" w:rsidRPr="00227AD5" w:rsidRDefault="009838A9" w:rsidP="00D0235A">
            <w:pPr>
              <w:spacing w:after="0" w:line="240" w:lineRule="auto"/>
              <w:rPr>
                <w:rFonts w:ascii="Calibri" w:eastAsia="Times New Roman" w:hAnsi="Calibri" w:cs="Times New Roman"/>
                <w:color w:val="000000"/>
                <w:sz w:val="18"/>
                <w:szCs w:val="18"/>
                <w:lang w:val="en-GB" w:eastAsia="bs-Latn-BA"/>
              </w:rPr>
            </w:pPr>
          </w:p>
        </w:tc>
        <w:tc>
          <w:tcPr>
            <w:tcW w:w="7680" w:type="dxa"/>
            <w:vMerge/>
            <w:tcBorders>
              <w:left w:val="single" w:sz="4" w:space="0" w:color="auto"/>
              <w:right w:val="single" w:sz="4" w:space="0" w:color="auto"/>
            </w:tcBorders>
            <w:tcMar>
              <w:left w:w="57" w:type="dxa"/>
              <w:right w:w="57" w:type="dxa"/>
            </w:tcMar>
            <w:vAlign w:val="center"/>
          </w:tcPr>
          <w:p w14:paraId="370484B4" w14:textId="77777777" w:rsidR="009838A9" w:rsidRPr="00227AD5" w:rsidRDefault="009838A9" w:rsidP="00D0235A">
            <w:pPr>
              <w:spacing w:after="0" w:line="240" w:lineRule="auto"/>
              <w:rPr>
                <w:rFonts w:ascii="Calibri" w:eastAsia="Times New Roman" w:hAnsi="Calibri" w:cs="Times New Roman"/>
                <w:color w:val="000000"/>
                <w:sz w:val="18"/>
                <w:szCs w:val="18"/>
                <w:lang w:val="en-GB" w:eastAsia="bs-Latn-BA"/>
              </w:rPr>
            </w:pPr>
          </w:p>
        </w:tc>
      </w:tr>
      <w:tr w:rsidR="009838A9" w:rsidRPr="00227AD5" w14:paraId="120979CA" w14:textId="77777777" w:rsidTr="00D0235A">
        <w:trPr>
          <w:trHeight w:val="202"/>
        </w:trPr>
        <w:tc>
          <w:tcPr>
            <w:tcW w:w="959" w:type="dxa"/>
            <w:vMerge/>
            <w:tcBorders>
              <w:left w:val="single" w:sz="4" w:space="0" w:color="FFFFFF"/>
              <w:right w:val="single" w:sz="4" w:space="0" w:color="FFFFFF"/>
            </w:tcBorders>
            <w:shd w:val="clear" w:color="auto" w:fill="4F81BD"/>
            <w:tcMar>
              <w:left w:w="57" w:type="dxa"/>
              <w:right w:w="57" w:type="dxa"/>
            </w:tcMar>
            <w:vAlign w:val="center"/>
          </w:tcPr>
          <w:p w14:paraId="65521A71" w14:textId="77777777" w:rsidR="009838A9" w:rsidRPr="00227AD5" w:rsidRDefault="009838A9" w:rsidP="00D0235A">
            <w:pPr>
              <w:spacing w:after="0" w:line="240" w:lineRule="auto"/>
              <w:rPr>
                <w:rFonts w:ascii="Calibri" w:eastAsia="Times New Roman" w:hAnsi="Calibri" w:cs="Times New Roman"/>
                <w:b/>
                <w:bCs/>
                <w:color w:val="000000"/>
                <w:sz w:val="18"/>
                <w:szCs w:val="18"/>
                <w:lang w:val="en-GB" w:eastAsia="bs-Latn-BA"/>
              </w:rPr>
            </w:pPr>
          </w:p>
        </w:tc>
        <w:tc>
          <w:tcPr>
            <w:tcW w:w="274" w:type="dxa"/>
            <w:tcBorders>
              <w:top w:val="nil"/>
              <w:left w:val="single" w:sz="4" w:space="0" w:color="FFFFFF"/>
              <w:bottom w:val="nil"/>
              <w:right w:val="single" w:sz="4" w:space="0" w:color="auto"/>
            </w:tcBorders>
            <w:shd w:val="clear" w:color="000000" w:fill="FFFFFF"/>
            <w:tcMar>
              <w:left w:w="57" w:type="dxa"/>
              <w:right w:w="57" w:type="dxa"/>
            </w:tcMar>
            <w:vAlign w:val="bottom"/>
          </w:tcPr>
          <w:p w14:paraId="19CD448F" w14:textId="77777777" w:rsidR="009838A9" w:rsidRPr="00227AD5" w:rsidRDefault="009838A9" w:rsidP="00D0235A">
            <w:pPr>
              <w:spacing w:after="0" w:line="240" w:lineRule="auto"/>
              <w:rPr>
                <w:rFonts w:ascii="Calibri" w:eastAsia="Times New Roman" w:hAnsi="Calibri" w:cs="Times New Roman"/>
                <w:color w:val="000000"/>
                <w:sz w:val="18"/>
                <w:szCs w:val="18"/>
                <w:lang w:val="en-GB" w:eastAsia="bs-Latn-BA"/>
              </w:rPr>
            </w:pPr>
          </w:p>
        </w:tc>
        <w:tc>
          <w:tcPr>
            <w:tcW w:w="7680" w:type="dxa"/>
            <w:vMerge/>
            <w:tcBorders>
              <w:left w:val="single" w:sz="4" w:space="0" w:color="auto"/>
              <w:right w:val="single" w:sz="4" w:space="0" w:color="auto"/>
            </w:tcBorders>
            <w:tcMar>
              <w:left w:w="57" w:type="dxa"/>
              <w:right w:w="57" w:type="dxa"/>
            </w:tcMar>
            <w:vAlign w:val="center"/>
          </w:tcPr>
          <w:p w14:paraId="72CBDDD0" w14:textId="77777777" w:rsidR="009838A9" w:rsidRPr="00227AD5" w:rsidRDefault="009838A9" w:rsidP="00D0235A">
            <w:pPr>
              <w:spacing w:after="0" w:line="240" w:lineRule="auto"/>
              <w:rPr>
                <w:rFonts w:ascii="Calibri" w:eastAsia="Times New Roman" w:hAnsi="Calibri" w:cs="Times New Roman"/>
                <w:color w:val="000000"/>
                <w:sz w:val="18"/>
                <w:szCs w:val="18"/>
                <w:lang w:val="en-GB" w:eastAsia="bs-Latn-BA"/>
              </w:rPr>
            </w:pPr>
          </w:p>
        </w:tc>
      </w:tr>
      <w:tr w:rsidR="009838A9" w:rsidRPr="00227AD5" w14:paraId="45387CD7" w14:textId="77777777" w:rsidTr="00D0235A">
        <w:trPr>
          <w:trHeight w:val="202"/>
        </w:trPr>
        <w:tc>
          <w:tcPr>
            <w:tcW w:w="959" w:type="dxa"/>
            <w:vMerge/>
            <w:tcBorders>
              <w:left w:val="single" w:sz="4" w:space="0" w:color="FFFFFF"/>
              <w:right w:val="single" w:sz="4" w:space="0" w:color="FFFFFF"/>
            </w:tcBorders>
            <w:shd w:val="clear" w:color="auto" w:fill="4F81BD"/>
            <w:tcMar>
              <w:left w:w="57" w:type="dxa"/>
              <w:right w:w="57" w:type="dxa"/>
            </w:tcMar>
            <w:vAlign w:val="center"/>
          </w:tcPr>
          <w:p w14:paraId="1091EC5D" w14:textId="77777777" w:rsidR="009838A9" w:rsidRPr="00227AD5" w:rsidRDefault="009838A9" w:rsidP="00D0235A">
            <w:pPr>
              <w:spacing w:after="0" w:line="240" w:lineRule="auto"/>
              <w:rPr>
                <w:rFonts w:ascii="Calibri" w:eastAsia="Times New Roman" w:hAnsi="Calibri" w:cs="Times New Roman"/>
                <w:b/>
                <w:bCs/>
                <w:color w:val="000000"/>
                <w:sz w:val="18"/>
                <w:szCs w:val="18"/>
                <w:lang w:val="en-GB" w:eastAsia="bs-Latn-BA"/>
              </w:rPr>
            </w:pPr>
          </w:p>
        </w:tc>
        <w:tc>
          <w:tcPr>
            <w:tcW w:w="274" w:type="dxa"/>
            <w:tcBorders>
              <w:top w:val="nil"/>
              <w:left w:val="single" w:sz="4" w:space="0" w:color="FFFFFF"/>
              <w:bottom w:val="nil"/>
              <w:right w:val="single" w:sz="4" w:space="0" w:color="auto"/>
            </w:tcBorders>
            <w:shd w:val="clear" w:color="000000" w:fill="FFFFFF"/>
            <w:tcMar>
              <w:left w:w="57" w:type="dxa"/>
              <w:right w:w="57" w:type="dxa"/>
            </w:tcMar>
            <w:vAlign w:val="bottom"/>
          </w:tcPr>
          <w:p w14:paraId="4925652E" w14:textId="77777777" w:rsidR="009838A9" w:rsidRPr="00227AD5" w:rsidRDefault="009838A9" w:rsidP="00D0235A">
            <w:pPr>
              <w:spacing w:after="0" w:line="240" w:lineRule="auto"/>
              <w:rPr>
                <w:rFonts w:ascii="Calibri" w:eastAsia="Times New Roman" w:hAnsi="Calibri" w:cs="Times New Roman"/>
                <w:color w:val="000000"/>
                <w:sz w:val="18"/>
                <w:szCs w:val="18"/>
                <w:lang w:val="en-GB" w:eastAsia="bs-Latn-BA"/>
              </w:rPr>
            </w:pPr>
          </w:p>
        </w:tc>
        <w:tc>
          <w:tcPr>
            <w:tcW w:w="7680" w:type="dxa"/>
            <w:vMerge/>
            <w:tcBorders>
              <w:left w:val="single" w:sz="4" w:space="0" w:color="auto"/>
              <w:right w:val="single" w:sz="4" w:space="0" w:color="auto"/>
            </w:tcBorders>
            <w:tcMar>
              <w:left w:w="57" w:type="dxa"/>
              <w:right w:w="57" w:type="dxa"/>
            </w:tcMar>
            <w:vAlign w:val="center"/>
          </w:tcPr>
          <w:p w14:paraId="3AA774CC" w14:textId="77777777" w:rsidR="009838A9" w:rsidRPr="00227AD5" w:rsidRDefault="009838A9" w:rsidP="00D0235A">
            <w:pPr>
              <w:spacing w:after="0" w:line="240" w:lineRule="auto"/>
              <w:rPr>
                <w:rFonts w:ascii="Calibri" w:eastAsia="Times New Roman" w:hAnsi="Calibri" w:cs="Times New Roman"/>
                <w:color w:val="000000"/>
                <w:sz w:val="18"/>
                <w:szCs w:val="18"/>
                <w:lang w:val="en-GB" w:eastAsia="bs-Latn-BA"/>
              </w:rPr>
            </w:pPr>
          </w:p>
        </w:tc>
      </w:tr>
      <w:tr w:rsidR="009838A9" w:rsidRPr="00227AD5" w14:paraId="0B1611FF" w14:textId="77777777" w:rsidTr="00D0235A">
        <w:trPr>
          <w:trHeight w:val="202"/>
        </w:trPr>
        <w:tc>
          <w:tcPr>
            <w:tcW w:w="959" w:type="dxa"/>
            <w:vMerge/>
            <w:tcBorders>
              <w:left w:val="single" w:sz="4" w:space="0" w:color="FFFFFF"/>
              <w:right w:val="single" w:sz="4" w:space="0" w:color="FFFFFF"/>
            </w:tcBorders>
            <w:shd w:val="clear" w:color="auto" w:fill="4F81BD"/>
            <w:tcMar>
              <w:left w:w="57" w:type="dxa"/>
              <w:right w:w="57" w:type="dxa"/>
            </w:tcMar>
            <w:vAlign w:val="center"/>
          </w:tcPr>
          <w:p w14:paraId="231A2FEE" w14:textId="77777777" w:rsidR="009838A9" w:rsidRPr="00227AD5" w:rsidRDefault="009838A9" w:rsidP="00D0235A">
            <w:pPr>
              <w:spacing w:after="0" w:line="240" w:lineRule="auto"/>
              <w:rPr>
                <w:rFonts w:ascii="Calibri" w:eastAsia="Times New Roman" w:hAnsi="Calibri" w:cs="Times New Roman"/>
                <w:b/>
                <w:bCs/>
                <w:color w:val="000000"/>
                <w:sz w:val="18"/>
                <w:szCs w:val="18"/>
                <w:lang w:val="en-GB" w:eastAsia="bs-Latn-BA"/>
              </w:rPr>
            </w:pPr>
          </w:p>
        </w:tc>
        <w:tc>
          <w:tcPr>
            <w:tcW w:w="274" w:type="dxa"/>
            <w:tcBorders>
              <w:top w:val="nil"/>
              <w:left w:val="single" w:sz="4" w:space="0" w:color="FFFFFF"/>
              <w:bottom w:val="nil"/>
              <w:right w:val="single" w:sz="4" w:space="0" w:color="auto"/>
            </w:tcBorders>
            <w:shd w:val="clear" w:color="000000" w:fill="FFFFFF"/>
            <w:tcMar>
              <w:left w:w="57" w:type="dxa"/>
              <w:right w:w="57" w:type="dxa"/>
            </w:tcMar>
            <w:vAlign w:val="bottom"/>
          </w:tcPr>
          <w:p w14:paraId="3EAD7F8C" w14:textId="77777777" w:rsidR="009838A9" w:rsidRPr="00227AD5" w:rsidRDefault="009838A9" w:rsidP="00D0235A">
            <w:pPr>
              <w:spacing w:after="0" w:line="240" w:lineRule="auto"/>
              <w:rPr>
                <w:rFonts w:ascii="Calibri" w:eastAsia="Times New Roman" w:hAnsi="Calibri" w:cs="Times New Roman"/>
                <w:color w:val="000000"/>
                <w:sz w:val="18"/>
                <w:szCs w:val="18"/>
                <w:lang w:val="en-GB" w:eastAsia="bs-Latn-BA"/>
              </w:rPr>
            </w:pPr>
          </w:p>
        </w:tc>
        <w:tc>
          <w:tcPr>
            <w:tcW w:w="7680" w:type="dxa"/>
            <w:vMerge/>
            <w:tcBorders>
              <w:left w:val="single" w:sz="4" w:space="0" w:color="auto"/>
              <w:right w:val="single" w:sz="4" w:space="0" w:color="auto"/>
            </w:tcBorders>
            <w:tcMar>
              <w:left w:w="57" w:type="dxa"/>
              <w:right w:w="57" w:type="dxa"/>
            </w:tcMar>
            <w:vAlign w:val="center"/>
          </w:tcPr>
          <w:p w14:paraId="2102FFA5" w14:textId="77777777" w:rsidR="009838A9" w:rsidRPr="00227AD5" w:rsidRDefault="009838A9" w:rsidP="00D0235A">
            <w:pPr>
              <w:spacing w:after="0" w:line="240" w:lineRule="auto"/>
              <w:rPr>
                <w:rFonts w:ascii="Calibri" w:eastAsia="Times New Roman" w:hAnsi="Calibri" w:cs="Times New Roman"/>
                <w:color w:val="000000"/>
                <w:sz w:val="18"/>
                <w:szCs w:val="18"/>
                <w:lang w:val="en-GB" w:eastAsia="bs-Latn-BA"/>
              </w:rPr>
            </w:pPr>
          </w:p>
        </w:tc>
      </w:tr>
      <w:tr w:rsidR="009838A9" w:rsidRPr="00227AD5" w14:paraId="64046DCD" w14:textId="77777777" w:rsidTr="00D0235A">
        <w:trPr>
          <w:trHeight w:val="202"/>
        </w:trPr>
        <w:tc>
          <w:tcPr>
            <w:tcW w:w="959" w:type="dxa"/>
            <w:vMerge/>
            <w:tcBorders>
              <w:left w:val="single" w:sz="4" w:space="0" w:color="FFFFFF"/>
              <w:right w:val="single" w:sz="4" w:space="0" w:color="FFFFFF"/>
            </w:tcBorders>
            <w:shd w:val="clear" w:color="auto" w:fill="4F81BD"/>
            <w:tcMar>
              <w:left w:w="57" w:type="dxa"/>
              <w:right w:w="57" w:type="dxa"/>
            </w:tcMar>
            <w:vAlign w:val="center"/>
          </w:tcPr>
          <w:p w14:paraId="68BD07D3" w14:textId="77777777" w:rsidR="009838A9" w:rsidRPr="00227AD5" w:rsidRDefault="009838A9" w:rsidP="00D0235A">
            <w:pPr>
              <w:spacing w:after="0" w:line="240" w:lineRule="auto"/>
              <w:rPr>
                <w:rFonts w:ascii="Calibri" w:eastAsia="Times New Roman" w:hAnsi="Calibri" w:cs="Times New Roman"/>
                <w:b/>
                <w:bCs/>
                <w:color w:val="000000"/>
                <w:sz w:val="18"/>
                <w:szCs w:val="18"/>
                <w:lang w:val="en-GB" w:eastAsia="bs-Latn-BA"/>
              </w:rPr>
            </w:pPr>
          </w:p>
        </w:tc>
        <w:tc>
          <w:tcPr>
            <w:tcW w:w="274" w:type="dxa"/>
            <w:tcBorders>
              <w:top w:val="nil"/>
              <w:left w:val="single" w:sz="4" w:space="0" w:color="FFFFFF"/>
              <w:bottom w:val="nil"/>
              <w:right w:val="single" w:sz="4" w:space="0" w:color="auto"/>
            </w:tcBorders>
            <w:shd w:val="clear" w:color="000000" w:fill="FFFFFF"/>
            <w:tcMar>
              <w:left w:w="57" w:type="dxa"/>
              <w:right w:w="57" w:type="dxa"/>
            </w:tcMar>
            <w:vAlign w:val="bottom"/>
          </w:tcPr>
          <w:p w14:paraId="36E21F97" w14:textId="77777777" w:rsidR="009838A9" w:rsidRPr="00227AD5" w:rsidRDefault="009838A9" w:rsidP="00D0235A">
            <w:pPr>
              <w:spacing w:after="0" w:line="240" w:lineRule="auto"/>
              <w:rPr>
                <w:rFonts w:ascii="Calibri" w:eastAsia="Times New Roman" w:hAnsi="Calibri" w:cs="Times New Roman"/>
                <w:color w:val="000000"/>
                <w:sz w:val="18"/>
                <w:szCs w:val="18"/>
                <w:lang w:val="en-GB" w:eastAsia="bs-Latn-BA"/>
              </w:rPr>
            </w:pPr>
          </w:p>
        </w:tc>
        <w:tc>
          <w:tcPr>
            <w:tcW w:w="7680" w:type="dxa"/>
            <w:vMerge/>
            <w:tcBorders>
              <w:left w:val="single" w:sz="4" w:space="0" w:color="auto"/>
              <w:right w:val="single" w:sz="4" w:space="0" w:color="auto"/>
            </w:tcBorders>
            <w:tcMar>
              <w:left w:w="57" w:type="dxa"/>
              <w:right w:w="57" w:type="dxa"/>
            </w:tcMar>
            <w:vAlign w:val="center"/>
          </w:tcPr>
          <w:p w14:paraId="1BE2B9F3" w14:textId="77777777" w:rsidR="009838A9" w:rsidRPr="00227AD5" w:rsidRDefault="009838A9" w:rsidP="00D0235A">
            <w:pPr>
              <w:spacing w:after="0" w:line="240" w:lineRule="auto"/>
              <w:rPr>
                <w:rFonts w:ascii="Calibri" w:eastAsia="Times New Roman" w:hAnsi="Calibri" w:cs="Times New Roman"/>
                <w:color w:val="000000"/>
                <w:sz w:val="18"/>
                <w:szCs w:val="18"/>
                <w:lang w:val="en-GB" w:eastAsia="bs-Latn-BA"/>
              </w:rPr>
            </w:pPr>
          </w:p>
        </w:tc>
      </w:tr>
      <w:tr w:rsidR="009838A9" w:rsidRPr="00227AD5" w14:paraId="2E973979" w14:textId="77777777" w:rsidTr="00D0235A">
        <w:trPr>
          <w:trHeight w:val="202"/>
        </w:trPr>
        <w:tc>
          <w:tcPr>
            <w:tcW w:w="959" w:type="dxa"/>
            <w:vMerge/>
            <w:tcBorders>
              <w:left w:val="single" w:sz="4" w:space="0" w:color="FFFFFF"/>
              <w:bottom w:val="single" w:sz="4" w:space="0" w:color="FFFFFF"/>
              <w:right w:val="single" w:sz="4" w:space="0" w:color="FFFFFF"/>
            </w:tcBorders>
            <w:shd w:val="clear" w:color="auto" w:fill="4F81BD"/>
            <w:tcMar>
              <w:left w:w="57" w:type="dxa"/>
              <w:right w:w="57" w:type="dxa"/>
            </w:tcMar>
            <w:vAlign w:val="center"/>
          </w:tcPr>
          <w:p w14:paraId="18F5391A" w14:textId="77777777" w:rsidR="009838A9" w:rsidRPr="00227AD5" w:rsidRDefault="009838A9" w:rsidP="00D0235A">
            <w:pPr>
              <w:spacing w:after="0" w:line="240" w:lineRule="auto"/>
              <w:rPr>
                <w:rFonts w:ascii="Calibri" w:eastAsia="Times New Roman" w:hAnsi="Calibri" w:cs="Times New Roman"/>
                <w:b/>
                <w:bCs/>
                <w:color w:val="000000"/>
                <w:sz w:val="18"/>
                <w:szCs w:val="18"/>
                <w:lang w:val="en-GB" w:eastAsia="bs-Latn-BA"/>
              </w:rPr>
            </w:pPr>
          </w:p>
        </w:tc>
        <w:tc>
          <w:tcPr>
            <w:tcW w:w="274" w:type="dxa"/>
            <w:tcBorders>
              <w:top w:val="nil"/>
              <w:left w:val="single" w:sz="4" w:space="0" w:color="FFFFFF"/>
              <w:bottom w:val="nil"/>
              <w:right w:val="single" w:sz="4" w:space="0" w:color="auto"/>
            </w:tcBorders>
            <w:shd w:val="clear" w:color="000000" w:fill="FFFFFF"/>
            <w:tcMar>
              <w:left w:w="57" w:type="dxa"/>
              <w:right w:w="57" w:type="dxa"/>
            </w:tcMar>
            <w:vAlign w:val="bottom"/>
          </w:tcPr>
          <w:p w14:paraId="129C55F1" w14:textId="77777777" w:rsidR="009838A9" w:rsidRPr="00227AD5" w:rsidRDefault="009838A9" w:rsidP="00D0235A">
            <w:pPr>
              <w:spacing w:after="0" w:line="240" w:lineRule="auto"/>
              <w:rPr>
                <w:rFonts w:ascii="Calibri" w:eastAsia="Times New Roman" w:hAnsi="Calibri" w:cs="Times New Roman"/>
                <w:color w:val="000000"/>
                <w:sz w:val="18"/>
                <w:szCs w:val="18"/>
                <w:lang w:val="en-GB" w:eastAsia="bs-Latn-BA"/>
              </w:rPr>
            </w:pPr>
          </w:p>
        </w:tc>
        <w:tc>
          <w:tcPr>
            <w:tcW w:w="7680" w:type="dxa"/>
            <w:vMerge/>
            <w:tcBorders>
              <w:left w:val="single" w:sz="4" w:space="0" w:color="auto"/>
              <w:bottom w:val="single" w:sz="4" w:space="0" w:color="auto"/>
              <w:right w:val="single" w:sz="4" w:space="0" w:color="auto"/>
            </w:tcBorders>
            <w:tcMar>
              <w:left w:w="57" w:type="dxa"/>
              <w:right w:w="57" w:type="dxa"/>
            </w:tcMar>
            <w:vAlign w:val="center"/>
          </w:tcPr>
          <w:p w14:paraId="1299BA92" w14:textId="77777777" w:rsidR="009838A9" w:rsidRPr="00227AD5" w:rsidRDefault="009838A9" w:rsidP="00D0235A">
            <w:pPr>
              <w:spacing w:after="0" w:line="240" w:lineRule="auto"/>
              <w:rPr>
                <w:rFonts w:ascii="Calibri" w:eastAsia="Times New Roman" w:hAnsi="Calibri" w:cs="Times New Roman"/>
                <w:color w:val="000000"/>
                <w:sz w:val="18"/>
                <w:szCs w:val="18"/>
                <w:lang w:val="en-GB" w:eastAsia="bs-Latn-BA"/>
              </w:rPr>
            </w:pPr>
          </w:p>
        </w:tc>
      </w:tr>
    </w:tbl>
    <w:p w14:paraId="7A84A6E7" w14:textId="77777777" w:rsidR="009838A9" w:rsidRPr="00227AD5" w:rsidRDefault="009838A9" w:rsidP="009838A9">
      <w:pPr>
        <w:rPr>
          <w:rFonts w:ascii="Calibri" w:eastAsia="Calibri" w:hAnsi="Calibri" w:cs="Times New Roman"/>
          <w:lang w:val="en-GB"/>
        </w:rPr>
      </w:pPr>
    </w:p>
    <w:p w14:paraId="4E03E4DA" w14:textId="19BF4043" w:rsidR="009838A9" w:rsidRPr="00227AD5" w:rsidRDefault="009838A9" w:rsidP="009838A9">
      <w:pPr>
        <w:jc w:val="both"/>
        <w:rPr>
          <w:rFonts w:ascii="Calibri" w:eastAsia="Calibri" w:hAnsi="Calibri" w:cs="Times New Roman"/>
          <w:lang w:val="en-GB"/>
        </w:rPr>
      </w:pPr>
      <w:r w:rsidRPr="00227AD5">
        <w:rPr>
          <w:rFonts w:ascii="Calibri" w:eastAsia="Calibri" w:hAnsi="Calibri" w:cs="Times New Roman"/>
          <w:lang w:val="en-GB"/>
        </w:rPr>
        <w:t>The SEE</w:t>
      </w:r>
      <w:r w:rsidR="00DE3B35">
        <w:rPr>
          <w:rFonts w:ascii="Calibri" w:eastAsia="Calibri" w:hAnsi="Calibri" w:cs="Times New Roman"/>
          <w:lang w:val="en-GB"/>
        </w:rPr>
        <w:t xml:space="preserve"> </w:t>
      </w:r>
      <w:r w:rsidRPr="00227AD5">
        <w:rPr>
          <w:rFonts w:ascii="Calibri" w:eastAsia="Calibri" w:hAnsi="Calibri" w:cs="Times New Roman"/>
          <w:lang w:val="en-GB"/>
        </w:rPr>
        <w:t>2030 Monitoring Committee will steer the programming process, with the RCC Secretariat co</w:t>
      </w:r>
      <w:r w:rsidR="004F6127">
        <w:rPr>
          <w:rFonts w:ascii="Calibri" w:eastAsia="Calibri" w:hAnsi="Calibri" w:cs="Times New Roman"/>
          <w:lang w:val="en-GB"/>
        </w:rPr>
        <w:t>-</w:t>
      </w:r>
      <w:r w:rsidRPr="00227AD5">
        <w:rPr>
          <w:rFonts w:ascii="Calibri" w:eastAsia="Calibri" w:hAnsi="Calibri" w:cs="Times New Roman"/>
          <w:lang w:val="en-GB"/>
        </w:rPr>
        <w:t xml:space="preserve">ordinating and facilitating the effort. The SEE 2030 </w:t>
      </w:r>
      <w:r w:rsidRPr="00227AD5">
        <w:rPr>
          <w:rFonts w:ascii="Calibri" w:eastAsia="Calibri" w:hAnsi="Calibri" w:cs="Times New Roman"/>
          <w:bCs/>
          <w:lang w:val="en-GB"/>
        </w:rPr>
        <w:t>Monitoring Committee</w:t>
      </w:r>
      <w:r w:rsidRPr="00227AD5">
        <w:rPr>
          <w:rFonts w:ascii="Calibri" w:eastAsia="Calibri" w:hAnsi="Calibri" w:cs="Times New Roman"/>
          <w:lang w:val="en-GB"/>
        </w:rPr>
        <w:t xml:space="preserve"> is established with the intention of closely involving the authorities of SEECP </w:t>
      </w:r>
      <w:r w:rsidR="003D7D19">
        <w:rPr>
          <w:rFonts w:ascii="Calibri" w:eastAsia="Calibri" w:hAnsi="Calibri" w:cs="Times New Roman"/>
          <w:lang w:val="en-GB"/>
        </w:rPr>
        <w:t>p</w:t>
      </w:r>
      <w:r w:rsidRPr="00227AD5">
        <w:rPr>
          <w:rFonts w:ascii="Calibri" w:eastAsia="Calibri" w:hAnsi="Calibri" w:cs="Times New Roman"/>
          <w:lang w:val="en-GB"/>
        </w:rPr>
        <w:t>articipants in the decision-making process. The Committee would be composed of National Co</w:t>
      </w:r>
      <w:r w:rsidR="003D7D19">
        <w:rPr>
          <w:rFonts w:ascii="Calibri" w:eastAsia="Calibri" w:hAnsi="Calibri" w:cs="Times New Roman"/>
          <w:lang w:val="en-GB"/>
        </w:rPr>
        <w:t>-</w:t>
      </w:r>
      <w:r w:rsidRPr="00227AD5">
        <w:rPr>
          <w:rFonts w:ascii="Calibri" w:eastAsia="Calibri" w:hAnsi="Calibri" w:cs="Times New Roman"/>
          <w:lang w:val="en-GB"/>
        </w:rPr>
        <w:t>ordinators at Assistant Minister or State Secretary</w:t>
      </w:r>
      <w:bookmarkStart w:id="0" w:name="_GoBack"/>
      <w:bookmarkEnd w:id="0"/>
      <w:r w:rsidRPr="00227AD5">
        <w:rPr>
          <w:rFonts w:ascii="Calibri" w:eastAsia="Calibri" w:hAnsi="Calibri" w:cs="Times New Roman"/>
          <w:lang w:val="en-GB"/>
        </w:rPr>
        <w:t xml:space="preserve"> level or their designates and two other delegates – one of which may represent the policy side of SDGs implementation in the given SEECP </w:t>
      </w:r>
      <w:r w:rsidR="003D7D19">
        <w:rPr>
          <w:rFonts w:ascii="Calibri" w:eastAsia="Calibri" w:hAnsi="Calibri" w:cs="Times New Roman"/>
          <w:lang w:val="en-GB"/>
        </w:rPr>
        <w:t>p</w:t>
      </w:r>
      <w:r w:rsidRPr="00227AD5">
        <w:rPr>
          <w:rFonts w:ascii="Calibri" w:eastAsia="Calibri" w:hAnsi="Calibri" w:cs="Times New Roman"/>
          <w:lang w:val="en-GB"/>
        </w:rPr>
        <w:t xml:space="preserve">articipant and other from national statistical authority. Given </w:t>
      </w:r>
      <w:r w:rsidR="003D7D19">
        <w:rPr>
          <w:rFonts w:ascii="Calibri" w:eastAsia="Calibri" w:hAnsi="Calibri" w:cs="Times New Roman"/>
          <w:lang w:val="en-GB"/>
        </w:rPr>
        <w:t xml:space="preserve">the </w:t>
      </w:r>
      <w:r w:rsidRPr="00227AD5">
        <w:rPr>
          <w:rFonts w:ascii="Calibri" w:eastAsia="Calibri" w:hAnsi="Calibri" w:cs="Times New Roman"/>
          <w:lang w:val="en-GB"/>
        </w:rPr>
        <w:t>National Co</w:t>
      </w:r>
      <w:r w:rsidR="003D7D19">
        <w:rPr>
          <w:rFonts w:ascii="Calibri" w:eastAsia="Calibri" w:hAnsi="Calibri" w:cs="Times New Roman"/>
          <w:lang w:val="en-GB"/>
        </w:rPr>
        <w:t>-</w:t>
      </w:r>
      <w:r w:rsidRPr="00227AD5">
        <w:rPr>
          <w:rFonts w:ascii="Calibri" w:eastAsia="Calibri" w:hAnsi="Calibri" w:cs="Times New Roman"/>
          <w:lang w:val="en-GB"/>
        </w:rPr>
        <w:t>ordinator</w:t>
      </w:r>
      <w:r w:rsidR="00C40B63">
        <w:rPr>
          <w:rFonts w:ascii="Calibri" w:eastAsia="Calibri" w:hAnsi="Calibri" w:cs="Times New Roman"/>
          <w:lang w:val="en-GB"/>
        </w:rPr>
        <w:t>s</w:t>
      </w:r>
      <w:r w:rsidRPr="00227AD5">
        <w:rPr>
          <w:rFonts w:ascii="Calibri" w:eastAsia="Calibri" w:hAnsi="Calibri" w:cs="Times New Roman"/>
          <w:lang w:val="en-GB"/>
        </w:rPr>
        <w:t xml:space="preserve">’ unique role and horizontal overview in the implementation of SEE 2030, their (offices) participation in the Committee is instrumental to guarantee clear regional ownership of the </w:t>
      </w:r>
      <w:r w:rsidRPr="00227AD5">
        <w:rPr>
          <w:rFonts w:ascii="Calibri" w:eastAsia="Calibri" w:hAnsi="Calibri" w:cs="Times New Roman"/>
          <w:lang w:val="en-GB"/>
        </w:rPr>
        <w:lastRenderedPageBreak/>
        <w:t xml:space="preserve">regional projects, as well as to ensure complementarities between SEE 2030 and national strategies. RCC will serve as a secretariat to the Monitoring Committee. </w:t>
      </w:r>
    </w:p>
    <w:p w14:paraId="066F5FA2" w14:textId="77777777" w:rsidR="009838A9" w:rsidRPr="00227AD5" w:rsidRDefault="009838A9" w:rsidP="009838A9">
      <w:pPr>
        <w:jc w:val="both"/>
        <w:rPr>
          <w:rFonts w:ascii="Calibri" w:eastAsia="Calibri" w:hAnsi="Calibri" w:cs="Times New Roman"/>
          <w:lang w:val="en-GB"/>
        </w:rPr>
      </w:pPr>
      <w:r w:rsidRPr="00227AD5">
        <w:rPr>
          <w:rFonts w:ascii="Calibri" w:eastAsia="Calibri" w:hAnsi="Calibri" w:cs="Times New Roman"/>
          <w:lang w:val="en-GB"/>
        </w:rPr>
        <w:t xml:space="preserve">The Committee would meet to review and approve the regional projects using </w:t>
      </w:r>
      <w:r w:rsidRPr="00227AD5">
        <w:rPr>
          <w:rFonts w:ascii="Calibri" w:eastAsia="Calibri" w:hAnsi="Calibri" w:cs="Times New Roman"/>
          <w:b/>
          <w:u w:val="single"/>
          <w:lang w:val="en-GB"/>
        </w:rPr>
        <w:t>the following selection criteria (proposed by the RCC)</w:t>
      </w:r>
      <w:r w:rsidRPr="00227AD5">
        <w:rPr>
          <w:rFonts w:ascii="Calibri" w:eastAsia="Calibri" w:hAnsi="Calibri" w:cs="Times New Roman"/>
          <w:lang w:val="en-GB"/>
        </w:rPr>
        <w:t>:</w:t>
      </w:r>
    </w:p>
    <w:p w14:paraId="79B4748F" w14:textId="77777777" w:rsidR="009838A9" w:rsidRPr="00227AD5" w:rsidRDefault="009838A9" w:rsidP="009838A9">
      <w:pPr>
        <w:numPr>
          <w:ilvl w:val="0"/>
          <w:numId w:val="3"/>
        </w:numPr>
        <w:spacing w:after="200" w:line="276" w:lineRule="auto"/>
        <w:jc w:val="both"/>
        <w:rPr>
          <w:rFonts w:ascii="Calibri" w:eastAsia="Calibri" w:hAnsi="Calibri" w:cs="Times New Roman"/>
          <w:lang w:val="en-GB"/>
        </w:rPr>
      </w:pPr>
      <w:r w:rsidRPr="00227AD5">
        <w:rPr>
          <w:rFonts w:ascii="Calibri" w:eastAsia="Calibri" w:hAnsi="Calibri" w:cs="Times New Roman"/>
          <w:b/>
          <w:bCs/>
          <w:lang w:val="en-GB"/>
        </w:rPr>
        <w:t>Relevance and policy integration</w:t>
      </w:r>
      <w:r w:rsidRPr="00227AD5">
        <w:rPr>
          <w:rFonts w:ascii="Calibri" w:eastAsia="Calibri" w:hAnsi="Calibri" w:cs="Times New Roman"/>
          <w:lang w:val="en-GB"/>
        </w:rPr>
        <w:t xml:space="preserve"> - areas of intervention which transcend the boundaries of established policy fields and respond to one or more strategic objectives of SEE 2030 Strategy such as: (i) Poverty reduction, (ii) Women empowerment, (iii) Improvement of social inclusion, (iv) Countering population decline through quality-of-life related interventions, and (v) Just transitions in green and digital without undermining competitiveness and private sector development.</w:t>
      </w:r>
    </w:p>
    <w:p w14:paraId="1AE88052" w14:textId="47935FFC" w:rsidR="009838A9" w:rsidRPr="00227AD5" w:rsidRDefault="009838A9" w:rsidP="009838A9">
      <w:pPr>
        <w:numPr>
          <w:ilvl w:val="0"/>
          <w:numId w:val="3"/>
        </w:numPr>
        <w:spacing w:after="200" w:line="276" w:lineRule="auto"/>
        <w:jc w:val="both"/>
        <w:rPr>
          <w:rFonts w:ascii="Calibri" w:eastAsia="Calibri" w:hAnsi="Calibri" w:cs="Times New Roman"/>
          <w:lang w:val="en-GB"/>
        </w:rPr>
      </w:pPr>
      <w:r w:rsidRPr="00227AD5">
        <w:rPr>
          <w:rFonts w:ascii="Calibri" w:eastAsia="Calibri" w:hAnsi="Calibri" w:cs="Times New Roman"/>
          <w:b/>
          <w:bCs/>
          <w:lang w:val="en-GB"/>
        </w:rPr>
        <w:t>Private sector orientation</w:t>
      </w:r>
      <w:r w:rsidRPr="00227AD5">
        <w:rPr>
          <w:rFonts w:ascii="Calibri" w:eastAsia="Calibri" w:hAnsi="Calibri" w:cs="Times New Roman"/>
          <w:lang w:val="en-GB"/>
        </w:rPr>
        <w:t xml:space="preserve"> – areas of intervention that </w:t>
      </w:r>
      <w:r w:rsidR="00052D77">
        <w:rPr>
          <w:rFonts w:ascii="Calibri" w:eastAsia="Calibri" w:hAnsi="Calibri" w:cs="Times New Roman"/>
          <w:lang w:val="en-GB"/>
        </w:rPr>
        <w:t xml:space="preserve">involve </w:t>
      </w:r>
      <w:r w:rsidRPr="00227AD5">
        <w:rPr>
          <w:rFonts w:ascii="Calibri" w:eastAsia="Calibri" w:hAnsi="Calibri" w:cs="Times New Roman"/>
          <w:lang w:val="en-GB"/>
        </w:rPr>
        <w:t>direc</w:t>
      </w:r>
      <w:r w:rsidR="00052D77">
        <w:rPr>
          <w:rFonts w:ascii="Calibri" w:eastAsia="Calibri" w:hAnsi="Calibri" w:cs="Times New Roman"/>
          <w:lang w:val="en-GB"/>
        </w:rPr>
        <w:t>t participation</w:t>
      </w:r>
      <w:r w:rsidR="00F61DE3">
        <w:rPr>
          <w:rFonts w:ascii="Calibri" w:eastAsia="Calibri" w:hAnsi="Calibri" w:cs="Times New Roman"/>
          <w:lang w:val="en-GB"/>
        </w:rPr>
        <w:t xml:space="preserve"> of</w:t>
      </w:r>
      <w:r w:rsidRPr="00227AD5">
        <w:rPr>
          <w:rFonts w:ascii="Calibri" w:eastAsia="Calibri" w:hAnsi="Calibri" w:cs="Times New Roman"/>
          <w:lang w:val="en-GB"/>
        </w:rPr>
        <w:t xml:space="preserve"> private sector in </w:t>
      </w:r>
      <w:r w:rsidR="00F61DE3">
        <w:rPr>
          <w:rFonts w:ascii="Calibri" w:eastAsia="Calibri" w:hAnsi="Calibri" w:cs="Times New Roman"/>
          <w:lang w:val="en-GB"/>
        </w:rPr>
        <w:t xml:space="preserve">the </w:t>
      </w:r>
      <w:r w:rsidRPr="00227AD5">
        <w:rPr>
          <w:rFonts w:ascii="Calibri" w:eastAsia="Calibri" w:hAnsi="Calibri" w:cs="Times New Roman"/>
          <w:lang w:val="en-GB"/>
        </w:rPr>
        <w:t>implementation and</w:t>
      </w:r>
      <w:r w:rsidR="00F61DE3">
        <w:rPr>
          <w:rFonts w:ascii="Calibri" w:eastAsia="Calibri" w:hAnsi="Calibri" w:cs="Times New Roman"/>
          <w:lang w:val="en-GB"/>
        </w:rPr>
        <w:t xml:space="preserve"> </w:t>
      </w:r>
      <w:r w:rsidRPr="00227AD5">
        <w:rPr>
          <w:rFonts w:ascii="Calibri" w:eastAsia="Calibri" w:hAnsi="Calibri" w:cs="Times New Roman"/>
          <w:lang w:val="en-GB"/>
        </w:rPr>
        <w:t>/</w:t>
      </w:r>
      <w:r w:rsidR="00F61DE3">
        <w:rPr>
          <w:rFonts w:ascii="Calibri" w:eastAsia="Calibri" w:hAnsi="Calibri" w:cs="Times New Roman"/>
          <w:lang w:val="en-GB"/>
        </w:rPr>
        <w:t xml:space="preserve"> </w:t>
      </w:r>
      <w:r w:rsidRPr="00227AD5">
        <w:rPr>
          <w:rFonts w:ascii="Calibri" w:eastAsia="Calibri" w:hAnsi="Calibri" w:cs="Times New Roman"/>
          <w:lang w:val="en-GB"/>
        </w:rPr>
        <w:t>or co-f</w:t>
      </w:r>
      <w:r w:rsidR="00F61DE3">
        <w:rPr>
          <w:rFonts w:ascii="Calibri" w:eastAsia="Calibri" w:hAnsi="Calibri" w:cs="Times New Roman"/>
          <w:lang w:val="en-GB"/>
        </w:rPr>
        <w:t>unding</w:t>
      </w:r>
      <w:r w:rsidRPr="00227AD5">
        <w:rPr>
          <w:rFonts w:ascii="Calibri" w:eastAsia="Calibri" w:hAnsi="Calibri" w:cs="Times New Roman"/>
          <w:lang w:val="en-GB"/>
        </w:rPr>
        <w:t xml:space="preserve">, such as: inbound and outbound multimodal and green logistics in intra SEE trade or between SEE and its neighbouring regions, value chain creation, private sector participation in green infrastructure development, innovative regional financial and professional services and other interventions that cut across policy areas including trade, customs, transport, finance and others. </w:t>
      </w:r>
    </w:p>
    <w:p w14:paraId="648F92B1" w14:textId="47C94F0D" w:rsidR="009838A9" w:rsidRPr="00227AD5" w:rsidRDefault="009838A9" w:rsidP="009838A9">
      <w:pPr>
        <w:numPr>
          <w:ilvl w:val="0"/>
          <w:numId w:val="3"/>
        </w:numPr>
        <w:spacing w:after="200" w:line="276" w:lineRule="auto"/>
        <w:jc w:val="both"/>
        <w:rPr>
          <w:rFonts w:ascii="Calibri" w:eastAsia="Calibri" w:hAnsi="Calibri" w:cs="Times New Roman"/>
          <w:lang w:val="en-GB"/>
        </w:rPr>
      </w:pPr>
      <w:r w:rsidRPr="00227AD5">
        <w:rPr>
          <w:rFonts w:ascii="Calibri" w:eastAsia="Calibri" w:hAnsi="Calibri" w:cs="Times New Roman"/>
          <w:b/>
          <w:bCs/>
          <w:lang w:val="en-GB"/>
        </w:rPr>
        <w:t>People-first focus</w:t>
      </w:r>
      <w:r w:rsidRPr="00227AD5">
        <w:rPr>
          <w:rFonts w:ascii="Calibri" w:eastAsia="Calibri" w:hAnsi="Calibri" w:cs="Times New Roman"/>
          <w:lang w:val="en-GB"/>
        </w:rPr>
        <w:t xml:space="preserve"> – interventions that create “value for people”, with a focus on the region’s most vulnerable</w:t>
      </w:r>
      <w:r w:rsidR="00D05F18">
        <w:rPr>
          <w:rFonts w:ascii="Calibri" w:eastAsia="Calibri" w:hAnsi="Calibri" w:cs="Times New Roman"/>
          <w:lang w:val="en-GB"/>
        </w:rPr>
        <w:t xml:space="preserve"> population groups</w:t>
      </w:r>
      <w:r w:rsidRPr="00227AD5">
        <w:rPr>
          <w:rFonts w:ascii="Calibri" w:eastAsia="Calibri" w:hAnsi="Calibri" w:cs="Times New Roman"/>
          <w:lang w:val="en-GB"/>
        </w:rPr>
        <w:t xml:space="preserve">. Integrating considerations of resilience, sustainability and circularity, this screening criteria should ensure key people-first outcomes, such as access and equity, economic effectiveness, and environmental sustainability and resilience. </w:t>
      </w:r>
      <w:r w:rsidR="00D05F18">
        <w:rPr>
          <w:rFonts w:ascii="Calibri" w:eastAsia="Calibri" w:hAnsi="Calibri" w:cs="Times New Roman"/>
          <w:lang w:val="en-GB"/>
        </w:rPr>
        <w:t>The p</w:t>
      </w:r>
      <w:r w:rsidRPr="00227AD5">
        <w:rPr>
          <w:rFonts w:ascii="Calibri" w:eastAsia="Calibri" w:hAnsi="Calibri" w:cs="Times New Roman"/>
          <w:lang w:val="en-GB"/>
        </w:rPr>
        <w:t xml:space="preserve">eople-first approach shall remain a key qualitative preferential treatment throughout the SEE 2030 programming process. </w:t>
      </w:r>
    </w:p>
    <w:p w14:paraId="72FB8663" w14:textId="52E0B770" w:rsidR="009838A9" w:rsidRPr="00227AD5" w:rsidRDefault="009838A9" w:rsidP="009838A9">
      <w:pPr>
        <w:numPr>
          <w:ilvl w:val="0"/>
          <w:numId w:val="3"/>
        </w:numPr>
        <w:spacing w:after="200" w:line="276" w:lineRule="auto"/>
        <w:jc w:val="both"/>
        <w:rPr>
          <w:rFonts w:ascii="Calibri" w:eastAsia="Calibri" w:hAnsi="Calibri" w:cs="Times New Roman"/>
          <w:lang w:val="en-GB"/>
        </w:rPr>
      </w:pPr>
      <w:r w:rsidRPr="00227AD5">
        <w:rPr>
          <w:rFonts w:ascii="Calibri" w:eastAsia="Calibri" w:hAnsi="Calibri" w:cs="Times New Roman"/>
          <w:b/>
          <w:bCs/>
          <w:lang w:val="en-GB"/>
        </w:rPr>
        <w:t>Donor priority alignment</w:t>
      </w:r>
      <w:r w:rsidRPr="00227AD5">
        <w:rPr>
          <w:rFonts w:ascii="Calibri" w:eastAsia="Calibri" w:hAnsi="Calibri" w:cs="Times New Roman"/>
          <w:lang w:val="en-GB"/>
        </w:rPr>
        <w:t xml:space="preserve"> – interventions </w:t>
      </w:r>
      <w:r w:rsidR="00D05F18">
        <w:rPr>
          <w:rFonts w:ascii="Calibri" w:eastAsia="Calibri" w:hAnsi="Calibri" w:cs="Times New Roman"/>
          <w:lang w:val="en-GB"/>
        </w:rPr>
        <w:t xml:space="preserve">accommodating the </w:t>
      </w:r>
      <w:r w:rsidRPr="00227AD5">
        <w:rPr>
          <w:rFonts w:ascii="Calibri" w:eastAsia="Calibri" w:hAnsi="Calibri" w:cs="Times New Roman"/>
          <w:lang w:val="en-GB"/>
        </w:rPr>
        <w:t>existing donor priorities and programmes. The</w:t>
      </w:r>
      <w:r w:rsidR="00D05F18">
        <w:rPr>
          <w:rFonts w:ascii="Calibri" w:eastAsia="Calibri" w:hAnsi="Calibri" w:cs="Times New Roman"/>
          <w:lang w:val="en-GB"/>
        </w:rPr>
        <w:t xml:space="preserve">y </w:t>
      </w:r>
      <w:r w:rsidRPr="00227AD5">
        <w:rPr>
          <w:rFonts w:ascii="Calibri" w:eastAsia="Calibri" w:hAnsi="Calibri" w:cs="Times New Roman"/>
          <w:lang w:val="en-GB"/>
        </w:rPr>
        <w:t xml:space="preserve">should </w:t>
      </w:r>
      <w:r w:rsidR="00125776">
        <w:rPr>
          <w:rFonts w:ascii="Calibri" w:eastAsia="Calibri" w:hAnsi="Calibri" w:cs="Times New Roman"/>
          <w:lang w:val="en-GB"/>
        </w:rPr>
        <w:t>take into account</w:t>
      </w:r>
      <w:r w:rsidRPr="00227AD5">
        <w:rPr>
          <w:rFonts w:ascii="Calibri" w:eastAsia="Calibri" w:hAnsi="Calibri" w:cs="Times New Roman"/>
          <w:lang w:val="en-GB"/>
        </w:rPr>
        <w:t xml:space="preserve"> the geographic focus of development co</w:t>
      </w:r>
      <w:r w:rsidR="00125776">
        <w:rPr>
          <w:rFonts w:ascii="Calibri" w:eastAsia="Calibri" w:hAnsi="Calibri" w:cs="Times New Roman"/>
          <w:lang w:val="en-GB"/>
        </w:rPr>
        <w:t>-</w:t>
      </w:r>
      <w:r w:rsidRPr="00227AD5">
        <w:rPr>
          <w:rFonts w:ascii="Calibri" w:eastAsia="Calibri" w:hAnsi="Calibri" w:cs="Times New Roman"/>
          <w:lang w:val="en-GB"/>
        </w:rPr>
        <w:t>operation partners, along with the thematic focus of programmes and types of beneficiaries supported. This requires continuous and regular communication</w:t>
      </w:r>
      <w:r w:rsidR="00125776">
        <w:rPr>
          <w:rFonts w:ascii="Calibri" w:eastAsia="Calibri" w:hAnsi="Calibri" w:cs="Times New Roman"/>
          <w:lang w:val="en-GB"/>
        </w:rPr>
        <w:t xml:space="preserve"> </w:t>
      </w:r>
      <w:r w:rsidRPr="00227AD5">
        <w:rPr>
          <w:rFonts w:ascii="Calibri" w:eastAsia="Calibri" w:hAnsi="Calibri" w:cs="Times New Roman"/>
          <w:lang w:val="en-GB"/>
        </w:rPr>
        <w:t>/</w:t>
      </w:r>
      <w:r w:rsidR="00125776">
        <w:rPr>
          <w:rFonts w:ascii="Calibri" w:eastAsia="Calibri" w:hAnsi="Calibri" w:cs="Times New Roman"/>
          <w:lang w:val="en-GB"/>
        </w:rPr>
        <w:t xml:space="preserve"> </w:t>
      </w:r>
      <w:r w:rsidRPr="00227AD5">
        <w:rPr>
          <w:rFonts w:ascii="Calibri" w:eastAsia="Calibri" w:hAnsi="Calibri" w:cs="Times New Roman"/>
          <w:lang w:val="en-GB"/>
        </w:rPr>
        <w:t>consultation with donor community and ensuring their close involvement throughout the programming cycle of the SEE 2030 Strategy.</w:t>
      </w:r>
    </w:p>
    <w:p w14:paraId="365F67FF" w14:textId="71272908" w:rsidR="009838A9" w:rsidRPr="00227AD5" w:rsidRDefault="009838A9" w:rsidP="009838A9">
      <w:pPr>
        <w:numPr>
          <w:ilvl w:val="0"/>
          <w:numId w:val="3"/>
        </w:numPr>
        <w:spacing w:after="200" w:line="276" w:lineRule="auto"/>
        <w:jc w:val="both"/>
        <w:rPr>
          <w:rFonts w:ascii="Calibri" w:eastAsia="Calibri" w:hAnsi="Calibri" w:cs="Times New Roman"/>
          <w:lang w:val="en-GB"/>
        </w:rPr>
      </w:pPr>
      <w:r w:rsidRPr="00227AD5">
        <w:rPr>
          <w:rFonts w:ascii="Calibri" w:eastAsia="Calibri" w:hAnsi="Calibri" w:cs="Times New Roman"/>
          <w:b/>
          <w:bCs/>
          <w:lang w:val="en-GB"/>
        </w:rPr>
        <w:t>Stakeholder engagement</w:t>
      </w:r>
      <w:r w:rsidRPr="00227AD5">
        <w:rPr>
          <w:rFonts w:ascii="Calibri" w:eastAsia="Calibri" w:hAnsi="Calibri" w:cs="Times New Roman"/>
          <w:lang w:val="en-GB"/>
        </w:rPr>
        <w:t xml:space="preserve"> – project proposals generated through extensive communication </w:t>
      </w:r>
      <w:r w:rsidRPr="00227AD5">
        <w:rPr>
          <w:rFonts w:ascii="Calibri" w:eastAsia="Calibri" w:hAnsi="Calibri" w:cs="Calibri"/>
          <w:lang w:val="en-GB"/>
        </w:rPr>
        <w:t xml:space="preserve">and consultation with multiple stakeholders, including the potential beneficiaries and civil society. Regional interventions should </w:t>
      </w:r>
      <w:r w:rsidRPr="00227AD5">
        <w:rPr>
          <w:rFonts w:ascii="Calibri" w:eastAsia="Calibri" w:hAnsi="Calibri" w:cs="Calibri"/>
          <w:color w:val="0B0C0C"/>
          <w:shd w:val="clear" w:color="auto" w:fill="FFFFFF"/>
          <w:lang w:val="en-GB"/>
        </w:rPr>
        <w:t xml:space="preserve">take into consideration the different interests and values </w:t>
      </w:r>
      <w:r w:rsidR="00125776">
        <w:rPr>
          <w:rFonts w:ascii="Calibri" w:eastAsia="Calibri" w:hAnsi="Calibri" w:cs="Calibri"/>
          <w:color w:val="0B0C0C"/>
          <w:shd w:val="clear" w:color="auto" w:fill="FFFFFF"/>
          <w:lang w:val="en-GB"/>
        </w:rPr>
        <w:t xml:space="preserve">of the </w:t>
      </w:r>
      <w:r w:rsidRPr="00227AD5">
        <w:rPr>
          <w:rFonts w:ascii="Calibri" w:eastAsia="Calibri" w:hAnsi="Calibri" w:cs="Calibri"/>
          <w:color w:val="0B0C0C"/>
          <w:shd w:val="clear" w:color="auto" w:fill="FFFFFF"/>
          <w:lang w:val="en-GB"/>
        </w:rPr>
        <w:t>stakeholders and address them throughout the project cycle, from the design stage through the implementation.</w:t>
      </w:r>
    </w:p>
    <w:p w14:paraId="05256800" w14:textId="53EA6DB9" w:rsidR="009838A9" w:rsidRPr="00227AD5" w:rsidRDefault="009838A9" w:rsidP="009838A9">
      <w:pPr>
        <w:numPr>
          <w:ilvl w:val="0"/>
          <w:numId w:val="3"/>
        </w:numPr>
        <w:spacing w:after="200" w:line="276" w:lineRule="auto"/>
        <w:jc w:val="both"/>
        <w:rPr>
          <w:rFonts w:ascii="Calibri" w:eastAsia="Calibri" w:hAnsi="Calibri" w:cs="Times New Roman"/>
          <w:lang w:val="en-GB"/>
        </w:rPr>
      </w:pPr>
      <w:r w:rsidRPr="00227AD5">
        <w:rPr>
          <w:rFonts w:ascii="Calibri" w:eastAsia="Calibri" w:hAnsi="Calibri" w:cs="Times New Roman"/>
          <w:b/>
          <w:bCs/>
          <w:lang w:val="en-GB"/>
        </w:rPr>
        <w:t xml:space="preserve">Long-term vision </w:t>
      </w:r>
      <w:r w:rsidRPr="00E87AF8">
        <w:rPr>
          <w:rFonts w:ascii="Calibri" w:eastAsia="Calibri" w:hAnsi="Calibri" w:cs="Times New Roman"/>
          <w:lang w:val="en-GB"/>
        </w:rPr>
        <w:t xml:space="preserve">– </w:t>
      </w:r>
      <w:r w:rsidR="00125776">
        <w:rPr>
          <w:rFonts w:ascii="Calibri" w:eastAsia="Calibri" w:hAnsi="Calibri" w:cs="Times New Roman"/>
          <w:bCs/>
          <w:lang w:val="en-GB"/>
        </w:rPr>
        <w:t>A</w:t>
      </w:r>
      <w:r w:rsidRPr="00227AD5">
        <w:rPr>
          <w:rFonts w:ascii="Calibri" w:eastAsia="Calibri" w:hAnsi="Calibri" w:cs="Times New Roman"/>
          <w:lang w:val="en-GB"/>
        </w:rPr>
        <w:t xml:space="preserve"> basic principle of sustainable development is to balance the needs of current and future generations. This inter-generational perspective is highlighted in the text of 2030 Agenda and is considered by most participants in their SDG national strategic frameworks. Managing potential trade-offs between short and long-term priorities is a key element for enhancing policy coherence.</w:t>
      </w:r>
      <w:r w:rsidRPr="00227AD5">
        <w:rPr>
          <w:rFonts w:ascii="Calibri" w:eastAsia="Calibri" w:hAnsi="Calibri" w:cs="Times New Roman"/>
          <w:vertAlign w:val="superscript"/>
          <w:lang w:val="en-GB"/>
        </w:rPr>
        <w:footnoteReference w:id="1"/>
      </w:r>
      <w:r w:rsidRPr="00227AD5">
        <w:rPr>
          <w:rFonts w:ascii="Calibri" w:eastAsia="Calibri" w:hAnsi="Calibri" w:cs="Times New Roman"/>
          <w:lang w:val="en-GB"/>
        </w:rPr>
        <w:t xml:space="preserve"> Project proposals should therefore have long-term </w:t>
      </w:r>
      <w:r w:rsidRPr="00227AD5">
        <w:rPr>
          <w:rFonts w:ascii="Calibri" w:eastAsia="Calibri" w:hAnsi="Calibri" w:cs="Times New Roman"/>
          <w:lang w:val="en-GB"/>
        </w:rPr>
        <w:lastRenderedPageBreak/>
        <w:t xml:space="preserve">vision explaining how short- and long-term priorities are balanced, and their impact is to be sustained. </w:t>
      </w:r>
    </w:p>
    <w:p w14:paraId="07136A9F" w14:textId="58180974" w:rsidR="009838A9" w:rsidRPr="00227AD5" w:rsidRDefault="009838A9" w:rsidP="009838A9">
      <w:pPr>
        <w:numPr>
          <w:ilvl w:val="0"/>
          <w:numId w:val="3"/>
        </w:numPr>
        <w:spacing w:after="200" w:line="276" w:lineRule="auto"/>
        <w:jc w:val="both"/>
        <w:rPr>
          <w:rFonts w:ascii="Calibri" w:eastAsia="Calibri" w:hAnsi="Calibri" w:cs="Times New Roman"/>
          <w:lang w:val="en-GB"/>
        </w:rPr>
      </w:pPr>
      <w:r w:rsidRPr="00227AD5">
        <w:rPr>
          <w:rFonts w:ascii="Calibri" w:eastAsia="Calibri" w:hAnsi="Calibri" w:cs="Times New Roman"/>
          <w:b/>
          <w:bCs/>
          <w:lang w:val="en-GB"/>
        </w:rPr>
        <w:t>Policy co</w:t>
      </w:r>
      <w:r w:rsidR="00125776">
        <w:rPr>
          <w:rFonts w:ascii="Calibri" w:eastAsia="Calibri" w:hAnsi="Calibri" w:cs="Times New Roman"/>
          <w:b/>
          <w:bCs/>
          <w:lang w:val="en-GB"/>
        </w:rPr>
        <w:t>-</w:t>
      </w:r>
      <w:r w:rsidRPr="00227AD5">
        <w:rPr>
          <w:rFonts w:ascii="Calibri" w:eastAsia="Calibri" w:hAnsi="Calibri" w:cs="Times New Roman"/>
          <w:b/>
          <w:bCs/>
          <w:lang w:val="en-GB"/>
        </w:rPr>
        <w:t xml:space="preserve">ordination – </w:t>
      </w:r>
      <w:r w:rsidR="00125776">
        <w:rPr>
          <w:rFonts w:ascii="Calibri" w:eastAsia="Calibri" w:hAnsi="Calibri" w:cs="Times New Roman"/>
          <w:bCs/>
          <w:lang w:val="en-GB"/>
        </w:rPr>
        <w:t>A</w:t>
      </w:r>
      <w:r w:rsidRPr="00227AD5">
        <w:rPr>
          <w:rFonts w:ascii="Calibri" w:eastAsia="Calibri" w:hAnsi="Calibri" w:cs="Times New Roman"/>
          <w:bCs/>
          <w:lang w:val="en-GB"/>
        </w:rPr>
        <w:t>ddressing highly interconnected SDGs effectively requires co</w:t>
      </w:r>
      <w:r w:rsidR="00125776">
        <w:rPr>
          <w:rFonts w:ascii="Calibri" w:eastAsia="Calibri" w:hAnsi="Calibri" w:cs="Times New Roman"/>
          <w:bCs/>
          <w:lang w:val="en-GB"/>
        </w:rPr>
        <w:t>-</w:t>
      </w:r>
      <w:r w:rsidRPr="00227AD5">
        <w:rPr>
          <w:rFonts w:ascii="Calibri" w:eastAsia="Calibri" w:hAnsi="Calibri" w:cs="Times New Roman"/>
          <w:bCs/>
          <w:lang w:val="en-GB"/>
        </w:rPr>
        <w:t>ordination mechanism to allow public sector authorities and other key stakeholders to share information, define and efficiently allocate responsibility and resources for implementation.</w:t>
      </w:r>
      <w:r w:rsidRPr="00227AD5">
        <w:rPr>
          <w:rFonts w:ascii="Calibri" w:eastAsia="Calibri" w:hAnsi="Calibri" w:cs="Times New Roman"/>
          <w:bCs/>
          <w:vertAlign w:val="superscript"/>
          <w:lang w:val="en-GB"/>
        </w:rPr>
        <w:footnoteReference w:id="2"/>
      </w:r>
      <w:r w:rsidRPr="00227AD5">
        <w:rPr>
          <w:rFonts w:ascii="Calibri" w:eastAsia="Calibri" w:hAnsi="Calibri" w:cs="Times New Roman"/>
          <w:bCs/>
          <w:lang w:val="en-GB"/>
        </w:rPr>
        <w:t xml:space="preserve"> Thus, the SEE 2030 Strategy Monitoring Committee should avail itself to create any sub-structures to facilitate regional co</w:t>
      </w:r>
      <w:r w:rsidR="00125776">
        <w:rPr>
          <w:rFonts w:ascii="Calibri" w:eastAsia="Calibri" w:hAnsi="Calibri" w:cs="Times New Roman"/>
          <w:bCs/>
          <w:lang w:val="en-GB"/>
        </w:rPr>
        <w:t>-</w:t>
      </w:r>
      <w:r w:rsidRPr="00227AD5">
        <w:rPr>
          <w:rFonts w:ascii="Calibri" w:eastAsia="Calibri" w:hAnsi="Calibri" w:cs="Times New Roman"/>
          <w:bCs/>
          <w:lang w:val="en-GB"/>
        </w:rPr>
        <w:t>ordination in thematic areas of interventions, wherever appropriate. Project proposals are also expected to explain what types of challenge in policy co</w:t>
      </w:r>
      <w:r w:rsidR="00125776">
        <w:rPr>
          <w:rFonts w:ascii="Calibri" w:eastAsia="Calibri" w:hAnsi="Calibri" w:cs="Times New Roman"/>
          <w:bCs/>
          <w:lang w:val="en-GB"/>
        </w:rPr>
        <w:t>-</w:t>
      </w:r>
      <w:r w:rsidRPr="00227AD5">
        <w:rPr>
          <w:rFonts w:ascii="Calibri" w:eastAsia="Calibri" w:hAnsi="Calibri" w:cs="Times New Roman"/>
          <w:bCs/>
          <w:lang w:val="en-GB"/>
        </w:rPr>
        <w:t xml:space="preserve">ordination are </w:t>
      </w:r>
      <w:r w:rsidR="00125776">
        <w:rPr>
          <w:rFonts w:ascii="Calibri" w:eastAsia="Calibri" w:hAnsi="Calibri" w:cs="Times New Roman"/>
          <w:bCs/>
          <w:lang w:val="en-GB"/>
        </w:rPr>
        <w:t xml:space="preserve">expected </w:t>
      </w:r>
      <w:r w:rsidRPr="00227AD5">
        <w:rPr>
          <w:rFonts w:ascii="Calibri" w:eastAsia="Calibri" w:hAnsi="Calibri" w:cs="Times New Roman"/>
          <w:bCs/>
          <w:lang w:val="en-GB"/>
        </w:rPr>
        <w:t xml:space="preserve">and how these challenges could be mitigated.    </w:t>
      </w:r>
    </w:p>
    <w:p w14:paraId="0EEE0618" w14:textId="77777777" w:rsidR="009838A9" w:rsidRPr="00227AD5" w:rsidRDefault="009838A9" w:rsidP="009838A9">
      <w:pPr>
        <w:spacing w:after="200" w:line="240" w:lineRule="auto"/>
        <w:jc w:val="both"/>
        <w:rPr>
          <w:rFonts w:ascii="Calibri" w:eastAsia="Times New Roman" w:hAnsi="Calibri" w:cs="Calibri"/>
          <w:lang w:val="en-GB"/>
        </w:rPr>
      </w:pPr>
      <w:r w:rsidRPr="00227AD5">
        <w:rPr>
          <w:rFonts w:ascii="Calibri" w:eastAsia="Calibri" w:hAnsi="Calibri" w:cs="Calibri"/>
          <w:lang w:val="en-GB"/>
        </w:rPr>
        <w:t>Furthermore, s</w:t>
      </w:r>
      <w:r w:rsidRPr="00227AD5">
        <w:rPr>
          <w:rFonts w:ascii="Calibri" w:eastAsia="Times New Roman" w:hAnsi="Calibri" w:cs="Calibri"/>
          <w:lang w:val="en-GB"/>
        </w:rPr>
        <w:t>treamlining the programming priorities of financial assistance among Official Development Assistance (ODA) eligible SEECP participants towards UN SDGs would considerably increase the impact of SEE 2030 Strategy interventions. Supporting further alignment of donor-financed assistance programmes with economy-level priorities related to SDG implementation as well as with the objectives of the SEE 2030 Strategy should remain one of the key features of the SEE 2030 programming process.</w:t>
      </w:r>
    </w:p>
    <w:p w14:paraId="5C6C8043" w14:textId="17354698" w:rsidR="009838A9" w:rsidRPr="00227AD5" w:rsidRDefault="009838A9" w:rsidP="009838A9">
      <w:pPr>
        <w:spacing w:after="200" w:line="240" w:lineRule="auto"/>
        <w:jc w:val="both"/>
        <w:rPr>
          <w:rFonts w:ascii="Calibri" w:eastAsia="Times New Roman" w:hAnsi="Calibri" w:cs="Calibri"/>
          <w:lang w:val="en-GB"/>
        </w:rPr>
      </w:pPr>
      <w:r w:rsidRPr="00227AD5">
        <w:rPr>
          <w:rFonts w:ascii="Calibri" w:eastAsia="Times New Roman" w:hAnsi="Calibri" w:cs="Calibri"/>
          <w:lang w:val="en-GB"/>
        </w:rPr>
        <w:t xml:space="preserve">The SEE 2030 Strategy also </w:t>
      </w:r>
      <w:r w:rsidR="001D2E2F">
        <w:rPr>
          <w:rFonts w:ascii="Calibri" w:eastAsia="Times New Roman" w:hAnsi="Calibri" w:cs="Calibri"/>
          <w:lang w:val="en-GB"/>
        </w:rPr>
        <w:t>provides for a</w:t>
      </w:r>
      <w:r w:rsidRPr="00227AD5">
        <w:rPr>
          <w:rFonts w:ascii="Calibri" w:eastAsia="Times New Roman" w:hAnsi="Calibri" w:cs="Calibri"/>
          <w:lang w:val="en-GB"/>
        </w:rPr>
        <w:t xml:space="preserve"> number of </w:t>
      </w:r>
      <w:r w:rsidR="001D2E2F">
        <w:rPr>
          <w:rFonts w:ascii="Calibri" w:eastAsia="Times New Roman" w:hAnsi="Calibri" w:cs="Calibri"/>
          <w:lang w:val="en-GB"/>
        </w:rPr>
        <w:t xml:space="preserve">Assistance </w:t>
      </w:r>
      <w:r w:rsidRPr="00227AD5">
        <w:rPr>
          <w:rFonts w:ascii="Calibri" w:eastAsia="Times New Roman" w:hAnsi="Calibri" w:cs="Calibri"/>
          <w:lang w:val="en-GB"/>
        </w:rPr>
        <w:t xml:space="preserve">Instruments </w:t>
      </w:r>
      <w:r w:rsidR="001D2E2F">
        <w:rPr>
          <w:rFonts w:ascii="Calibri" w:eastAsia="Times New Roman" w:hAnsi="Calibri" w:cs="Calibri"/>
          <w:lang w:val="en-GB"/>
        </w:rPr>
        <w:t>for</w:t>
      </w:r>
      <w:r w:rsidRPr="00227AD5">
        <w:rPr>
          <w:rFonts w:ascii="Calibri" w:eastAsia="Times New Roman" w:hAnsi="Calibri" w:cs="Calibri"/>
          <w:lang w:val="en-GB"/>
        </w:rPr>
        <w:t xml:space="preserve"> the implementation of the Strategy. The programming process </w:t>
      </w:r>
      <w:r w:rsidR="006A451D">
        <w:rPr>
          <w:rFonts w:ascii="Calibri" w:eastAsia="Times New Roman" w:hAnsi="Calibri" w:cs="Calibri"/>
          <w:lang w:val="en-GB"/>
        </w:rPr>
        <w:t>needs to e</w:t>
      </w:r>
      <w:r w:rsidRPr="00227AD5">
        <w:rPr>
          <w:rFonts w:ascii="Calibri" w:eastAsia="Times New Roman" w:hAnsi="Calibri" w:cs="Calibri"/>
          <w:lang w:val="en-GB"/>
        </w:rPr>
        <w:t xml:space="preserve">nsure that any and all interventions proposed under the SEE 2030 framework are in conformance with the instruments laid out in the Strategy. </w:t>
      </w:r>
    </w:p>
    <w:p w14:paraId="4981775C" w14:textId="17C18614" w:rsidR="009838A9" w:rsidRPr="00227AD5" w:rsidRDefault="009838A9" w:rsidP="009838A9">
      <w:pPr>
        <w:jc w:val="both"/>
        <w:rPr>
          <w:rFonts w:ascii="Calibri" w:eastAsia="Calibri" w:hAnsi="Calibri" w:cs="Times New Roman"/>
          <w:lang w:val="en-GB"/>
        </w:rPr>
      </w:pPr>
      <w:r w:rsidRPr="00227AD5">
        <w:rPr>
          <w:rFonts w:ascii="Calibri" w:eastAsia="Calibri" w:hAnsi="Calibri" w:cs="Times New Roman"/>
          <w:lang w:val="en-GB"/>
        </w:rPr>
        <w:t>Therefore, in assessing eligibility and prioritising areas of intervention under the SEE 2030 framework, the Monitoring Committee will apply a two-dimensional axis assessing conformity of intervention areas with (i) Development Co</w:t>
      </w:r>
      <w:r w:rsidR="00CE5E33">
        <w:rPr>
          <w:rFonts w:ascii="Calibri" w:eastAsia="Calibri" w:hAnsi="Calibri" w:cs="Times New Roman"/>
          <w:lang w:val="en-GB"/>
        </w:rPr>
        <w:t>-</w:t>
      </w:r>
      <w:r w:rsidRPr="00227AD5">
        <w:rPr>
          <w:rFonts w:ascii="Calibri" w:eastAsia="Calibri" w:hAnsi="Calibri" w:cs="Times New Roman"/>
          <w:lang w:val="en-GB"/>
        </w:rPr>
        <w:t xml:space="preserve">operation Effectiveness principles and (ii) SEE 2030 Instruments of Assistance. </w:t>
      </w:r>
    </w:p>
    <w:p w14:paraId="06CCE947" w14:textId="76415C9E" w:rsidR="009838A9" w:rsidRPr="00227AD5" w:rsidRDefault="009838A9" w:rsidP="009838A9">
      <w:pPr>
        <w:numPr>
          <w:ilvl w:val="0"/>
          <w:numId w:val="4"/>
        </w:numPr>
        <w:spacing w:after="200" w:line="276" w:lineRule="auto"/>
        <w:rPr>
          <w:rFonts w:ascii="Calibri" w:eastAsia="Calibri" w:hAnsi="Calibri" w:cs="Times New Roman"/>
          <w:lang w:val="en-GB"/>
        </w:rPr>
      </w:pPr>
      <w:r w:rsidRPr="00227AD5">
        <w:rPr>
          <w:rFonts w:ascii="Calibri" w:eastAsia="Calibri" w:hAnsi="Calibri" w:cs="Times New Roman"/>
          <w:b/>
          <w:bCs/>
          <w:lang w:val="en-GB"/>
        </w:rPr>
        <w:t>Development Co</w:t>
      </w:r>
      <w:r w:rsidR="00CE5E33">
        <w:rPr>
          <w:rFonts w:ascii="Calibri" w:eastAsia="Calibri" w:hAnsi="Calibri" w:cs="Times New Roman"/>
          <w:b/>
          <w:bCs/>
          <w:lang w:val="en-GB"/>
        </w:rPr>
        <w:t>-</w:t>
      </w:r>
      <w:r w:rsidRPr="00227AD5">
        <w:rPr>
          <w:rFonts w:ascii="Calibri" w:eastAsia="Calibri" w:hAnsi="Calibri" w:cs="Times New Roman"/>
          <w:b/>
          <w:bCs/>
          <w:lang w:val="en-GB"/>
        </w:rPr>
        <w:t>operation Effectiveness</w:t>
      </w:r>
      <w:r w:rsidRPr="00227AD5">
        <w:rPr>
          <w:rFonts w:ascii="Calibri" w:eastAsia="Calibri" w:hAnsi="Calibri" w:cs="Times New Roman"/>
          <w:lang w:val="en-GB"/>
        </w:rPr>
        <w:t xml:space="preserve"> principles will take into account the following areas: </w:t>
      </w:r>
    </w:p>
    <w:p w14:paraId="7E1E0EFF" w14:textId="282BD425" w:rsidR="009838A9" w:rsidRPr="00227AD5" w:rsidRDefault="009838A9" w:rsidP="009838A9">
      <w:pPr>
        <w:numPr>
          <w:ilvl w:val="0"/>
          <w:numId w:val="6"/>
        </w:numPr>
        <w:spacing w:after="200" w:line="276" w:lineRule="auto"/>
        <w:jc w:val="both"/>
        <w:rPr>
          <w:rFonts w:ascii="Calibri" w:eastAsia="Calibri" w:hAnsi="Calibri" w:cs="Times New Roman"/>
          <w:bCs/>
          <w:lang w:val="en-GB"/>
        </w:rPr>
      </w:pPr>
      <w:r w:rsidRPr="00227AD5">
        <w:rPr>
          <w:rFonts w:ascii="Calibri" w:eastAsia="Calibri" w:hAnsi="Calibri" w:cs="Times New Roman"/>
          <w:bCs/>
          <w:lang w:val="en-GB"/>
        </w:rPr>
        <w:t>SDG</w:t>
      </w:r>
      <w:r w:rsidR="00E87AF8">
        <w:rPr>
          <w:rFonts w:ascii="Calibri" w:eastAsia="Calibri" w:hAnsi="Calibri" w:cs="Times New Roman"/>
          <w:bCs/>
          <w:lang w:val="en-GB"/>
        </w:rPr>
        <w:t>-</w:t>
      </w:r>
      <w:r w:rsidRPr="00227AD5">
        <w:rPr>
          <w:rFonts w:ascii="Calibri" w:eastAsia="Calibri" w:hAnsi="Calibri" w:cs="Times New Roman"/>
          <w:bCs/>
          <w:lang w:val="en-GB"/>
        </w:rPr>
        <w:t>related priorities of SEECP participants verified through national voluntary reviews of the implementation of SDGs and the Agenda 2030</w:t>
      </w:r>
    </w:p>
    <w:p w14:paraId="62325468" w14:textId="34765101" w:rsidR="009838A9" w:rsidRPr="00227AD5" w:rsidRDefault="009838A9" w:rsidP="009838A9">
      <w:pPr>
        <w:numPr>
          <w:ilvl w:val="0"/>
          <w:numId w:val="6"/>
        </w:numPr>
        <w:spacing w:after="200" w:line="276" w:lineRule="auto"/>
        <w:jc w:val="both"/>
        <w:rPr>
          <w:rFonts w:ascii="Calibri" w:eastAsia="Calibri" w:hAnsi="Calibri" w:cs="Times New Roman"/>
          <w:bCs/>
          <w:lang w:val="en-GB"/>
        </w:rPr>
      </w:pPr>
      <w:r w:rsidRPr="00227AD5">
        <w:rPr>
          <w:rFonts w:ascii="Calibri" w:eastAsia="Calibri" w:hAnsi="Calibri" w:cs="Times New Roman"/>
          <w:bCs/>
          <w:lang w:val="en-GB"/>
        </w:rPr>
        <w:t>Policy areas supported by the donor community verified by the OECD DAC data</w:t>
      </w:r>
      <w:r w:rsidRPr="00227AD5">
        <w:rPr>
          <w:rFonts w:ascii="Calibri" w:eastAsia="Calibri" w:hAnsi="Calibri" w:cs="Times New Roman"/>
          <w:bCs/>
          <w:vertAlign w:val="superscript"/>
          <w:lang w:val="en-GB"/>
        </w:rPr>
        <w:footnoteReference w:id="3"/>
      </w:r>
      <w:r w:rsidRPr="00227AD5">
        <w:rPr>
          <w:rFonts w:ascii="Calibri" w:eastAsia="Calibri" w:hAnsi="Calibri" w:cs="Times New Roman"/>
          <w:bCs/>
          <w:lang w:val="en-GB"/>
        </w:rPr>
        <w:t xml:space="preserve"> and regularly updated through communication and co</w:t>
      </w:r>
      <w:r w:rsidR="00E87AF8">
        <w:rPr>
          <w:rFonts w:ascii="Calibri" w:eastAsia="Calibri" w:hAnsi="Calibri" w:cs="Times New Roman"/>
          <w:bCs/>
          <w:lang w:val="en-GB"/>
        </w:rPr>
        <w:t>-</w:t>
      </w:r>
      <w:r w:rsidRPr="00227AD5">
        <w:rPr>
          <w:rFonts w:ascii="Calibri" w:eastAsia="Calibri" w:hAnsi="Calibri" w:cs="Times New Roman"/>
          <w:bCs/>
          <w:lang w:val="en-GB"/>
        </w:rPr>
        <w:t>ordination with the development assistance community in the SEE</w:t>
      </w:r>
    </w:p>
    <w:p w14:paraId="3FDCF8B7" w14:textId="3A0E6ABB" w:rsidR="009838A9" w:rsidRPr="00227AD5" w:rsidRDefault="009838A9" w:rsidP="009838A9">
      <w:pPr>
        <w:numPr>
          <w:ilvl w:val="0"/>
          <w:numId w:val="6"/>
        </w:numPr>
        <w:spacing w:after="200" w:line="276" w:lineRule="auto"/>
        <w:jc w:val="both"/>
        <w:rPr>
          <w:rFonts w:ascii="Calibri" w:eastAsia="Calibri" w:hAnsi="Calibri" w:cs="Times New Roman"/>
          <w:bCs/>
          <w:lang w:val="en-GB"/>
        </w:rPr>
      </w:pPr>
      <w:r w:rsidRPr="00227AD5">
        <w:rPr>
          <w:rFonts w:ascii="Calibri" w:eastAsia="Calibri" w:hAnsi="Calibri" w:cs="Times New Roman"/>
          <w:bCs/>
          <w:lang w:val="en-GB"/>
        </w:rPr>
        <w:t>SDG-related areas presently not addressed by the existing development assistance support and needing renewed focus from development co</w:t>
      </w:r>
      <w:r w:rsidR="00E87AF8">
        <w:rPr>
          <w:rFonts w:ascii="Calibri" w:eastAsia="Calibri" w:hAnsi="Calibri" w:cs="Times New Roman"/>
          <w:bCs/>
          <w:lang w:val="en-GB"/>
        </w:rPr>
        <w:t>-</w:t>
      </w:r>
      <w:r w:rsidRPr="00227AD5">
        <w:rPr>
          <w:rFonts w:ascii="Calibri" w:eastAsia="Calibri" w:hAnsi="Calibri" w:cs="Times New Roman"/>
          <w:bCs/>
          <w:lang w:val="en-GB"/>
        </w:rPr>
        <w:t>operation partners, based on clear justification and alignment with SEE 2030 objectives.</w:t>
      </w:r>
    </w:p>
    <w:p w14:paraId="1B3E63A4" w14:textId="562159D4" w:rsidR="009838A9" w:rsidRPr="00227AD5" w:rsidRDefault="009838A9" w:rsidP="009838A9">
      <w:pPr>
        <w:spacing w:line="276" w:lineRule="auto"/>
        <w:ind w:left="720"/>
        <w:jc w:val="both"/>
        <w:rPr>
          <w:rFonts w:ascii="Calibri" w:eastAsia="Calibri" w:hAnsi="Calibri" w:cs="Times New Roman"/>
          <w:bCs/>
          <w:lang w:val="en-GB"/>
        </w:rPr>
      </w:pPr>
      <w:r w:rsidRPr="00227AD5">
        <w:rPr>
          <w:rFonts w:ascii="Calibri" w:eastAsia="Calibri" w:hAnsi="Calibri" w:cs="Times New Roman"/>
          <w:bCs/>
          <w:lang w:val="en-GB"/>
        </w:rPr>
        <w:t>All regional projects will need to be screened against the Development Co</w:t>
      </w:r>
      <w:r w:rsidR="00E87AF8">
        <w:rPr>
          <w:rFonts w:ascii="Calibri" w:eastAsia="Calibri" w:hAnsi="Calibri" w:cs="Times New Roman"/>
          <w:bCs/>
          <w:lang w:val="en-GB"/>
        </w:rPr>
        <w:t>-</w:t>
      </w:r>
      <w:r w:rsidRPr="00227AD5">
        <w:rPr>
          <w:rFonts w:ascii="Calibri" w:eastAsia="Calibri" w:hAnsi="Calibri" w:cs="Times New Roman"/>
          <w:bCs/>
          <w:lang w:val="en-GB"/>
        </w:rPr>
        <w:t>operation Effectiveness principles above to ensure that the interventions are eligible for support needed to achieve the desired outcomes.</w:t>
      </w:r>
    </w:p>
    <w:p w14:paraId="43815847" w14:textId="77777777" w:rsidR="009838A9" w:rsidRPr="00227AD5" w:rsidRDefault="009838A9" w:rsidP="009838A9">
      <w:pPr>
        <w:numPr>
          <w:ilvl w:val="0"/>
          <w:numId w:val="4"/>
        </w:numPr>
        <w:spacing w:after="200" w:line="276" w:lineRule="auto"/>
        <w:jc w:val="both"/>
        <w:rPr>
          <w:rFonts w:ascii="Calibri" w:eastAsia="Calibri" w:hAnsi="Calibri" w:cs="Times New Roman"/>
          <w:lang w:val="en-GB"/>
        </w:rPr>
      </w:pPr>
      <w:r w:rsidRPr="00227AD5">
        <w:rPr>
          <w:rFonts w:ascii="Calibri" w:eastAsia="Calibri" w:hAnsi="Calibri" w:cs="Times New Roman"/>
          <w:b/>
          <w:lang w:val="en-GB"/>
        </w:rPr>
        <w:lastRenderedPageBreak/>
        <w:t>Instruments of Assistance</w:t>
      </w:r>
      <w:r w:rsidRPr="00227AD5">
        <w:rPr>
          <w:rFonts w:ascii="Calibri" w:eastAsia="Calibri" w:hAnsi="Calibri" w:cs="Times New Roman"/>
          <w:bCs/>
          <w:lang w:val="en-GB"/>
        </w:rPr>
        <w:t xml:space="preserve"> will be another eligibility criteria where the proposed interventions will be screened for compliance </w:t>
      </w:r>
      <w:r w:rsidRPr="00227AD5">
        <w:rPr>
          <w:rFonts w:ascii="Calibri" w:eastAsia="Calibri" w:hAnsi="Calibri" w:cs="Times New Roman"/>
          <w:lang w:val="en-GB"/>
        </w:rPr>
        <w:t>with one or more instruments foreseen by the SEE 2030 Strategy:</w:t>
      </w:r>
    </w:p>
    <w:p w14:paraId="5424837E" w14:textId="77777777" w:rsidR="009838A9" w:rsidRPr="00227AD5" w:rsidRDefault="009838A9" w:rsidP="009838A9">
      <w:pPr>
        <w:numPr>
          <w:ilvl w:val="0"/>
          <w:numId w:val="5"/>
        </w:numPr>
        <w:spacing w:after="200" w:line="276" w:lineRule="auto"/>
        <w:jc w:val="both"/>
        <w:rPr>
          <w:rFonts w:ascii="Calibri" w:eastAsia="Calibri" w:hAnsi="Calibri" w:cs="Times New Roman"/>
          <w:lang w:val="en-GB"/>
        </w:rPr>
      </w:pPr>
      <w:r w:rsidRPr="00227AD5">
        <w:rPr>
          <w:rFonts w:ascii="Calibri" w:eastAsia="Calibri" w:hAnsi="Calibri" w:cs="Times New Roman"/>
          <w:lang w:val="en-GB"/>
        </w:rPr>
        <w:t>Low-cost assistance instruments implemented over the short-to-medium term, including: (i) Regional dialogue, (ii) Regional networking, (iii) Actions of regional solidarity and assistance (bilateral or multilateral assistance supported by SEE development agencies), (iv) Peer reviews (bilateral or multilateral assistance supported by SEE development agencies).</w:t>
      </w:r>
    </w:p>
    <w:p w14:paraId="17D5619A" w14:textId="77777777" w:rsidR="009838A9" w:rsidRPr="00227AD5" w:rsidRDefault="009838A9" w:rsidP="009838A9">
      <w:pPr>
        <w:numPr>
          <w:ilvl w:val="0"/>
          <w:numId w:val="5"/>
        </w:numPr>
        <w:spacing w:after="200" w:line="276" w:lineRule="auto"/>
        <w:rPr>
          <w:rFonts w:ascii="Calibri" w:eastAsia="Calibri" w:hAnsi="Calibri" w:cs="Times New Roman"/>
          <w:lang w:val="en-GB"/>
        </w:rPr>
      </w:pPr>
      <w:r w:rsidRPr="00227AD5">
        <w:rPr>
          <w:rFonts w:ascii="Calibri" w:eastAsia="Calibri" w:hAnsi="Calibri" w:cs="Times New Roman"/>
          <w:lang w:val="en-GB"/>
        </w:rPr>
        <w:t xml:space="preserve">Medium-cost assistance instruments implemented over the medium-to-long term, such as International technical assistance supported by regional or international donors, with involvement of the private sector, where possible. </w:t>
      </w:r>
    </w:p>
    <w:p w14:paraId="700E08D7" w14:textId="4D129E3B" w:rsidR="009838A9" w:rsidRPr="00227AD5" w:rsidRDefault="009838A9" w:rsidP="009838A9">
      <w:pPr>
        <w:numPr>
          <w:ilvl w:val="0"/>
          <w:numId w:val="5"/>
        </w:numPr>
        <w:spacing w:after="200" w:line="276" w:lineRule="auto"/>
        <w:rPr>
          <w:rFonts w:ascii="Calibri" w:eastAsia="Calibri" w:hAnsi="Calibri" w:cs="Times New Roman"/>
          <w:lang w:val="en-GB"/>
        </w:rPr>
      </w:pPr>
      <w:r w:rsidRPr="00227AD5">
        <w:rPr>
          <w:rFonts w:ascii="Calibri" w:eastAsia="Calibri" w:hAnsi="Calibri" w:cs="Times New Roman"/>
          <w:lang w:val="en-GB"/>
        </w:rPr>
        <w:t>High-cost interventions implemented over the long-term, such as International Financial Institutions (IFIs) support in select</w:t>
      </w:r>
      <w:r w:rsidR="00E87AF8">
        <w:rPr>
          <w:rFonts w:ascii="Calibri" w:eastAsia="Calibri" w:hAnsi="Calibri" w:cs="Times New Roman"/>
          <w:lang w:val="en-GB"/>
        </w:rPr>
        <w:t xml:space="preserve"> </w:t>
      </w:r>
      <w:r w:rsidRPr="00227AD5">
        <w:rPr>
          <w:rFonts w:ascii="Calibri" w:eastAsia="Calibri" w:hAnsi="Calibri" w:cs="Times New Roman"/>
          <w:lang w:val="en-GB"/>
        </w:rPr>
        <w:t>areas with demonstrable investment feasibility and bankability of projects.</w:t>
      </w:r>
    </w:p>
    <w:p w14:paraId="65760D46" w14:textId="51CCE435" w:rsidR="009838A9" w:rsidRPr="00227AD5" w:rsidRDefault="009838A9" w:rsidP="009838A9">
      <w:pPr>
        <w:spacing w:after="200" w:line="276" w:lineRule="auto"/>
        <w:jc w:val="both"/>
        <w:rPr>
          <w:rFonts w:ascii="Calibri" w:eastAsia="Calibri" w:hAnsi="Calibri" w:cs="Times New Roman"/>
          <w:lang w:val="en-GB"/>
        </w:rPr>
      </w:pPr>
      <w:r w:rsidRPr="00227AD5">
        <w:rPr>
          <w:rFonts w:ascii="Calibri" w:eastAsia="Calibri" w:hAnsi="Calibri" w:cs="Times New Roman"/>
          <w:lang w:val="en-GB"/>
        </w:rPr>
        <w:t>In summary, the SEE 2030 programming process would apply two eligibility criteria (Development Co</w:t>
      </w:r>
      <w:r w:rsidR="00E87AF8">
        <w:rPr>
          <w:rFonts w:ascii="Calibri" w:eastAsia="Calibri" w:hAnsi="Calibri" w:cs="Times New Roman"/>
          <w:lang w:val="en-GB"/>
        </w:rPr>
        <w:t>-</w:t>
      </w:r>
      <w:r w:rsidRPr="00227AD5">
        <w:rPr>
          <w:rFonts w:ascii="Calibri" w:eastAsia="Calibri" w:hAnsi="Calibri" w:cs="Times New Roman"/>
          <w:lang w:val="en-GB"/>
        </w:rPr>
        <w:t>operation Effectiveness and Instruments of Assistance) and seven selectivity criteria (Relevance and policy integration, Private sector orientation, People-first focus, Donor priority alignment, Stakeholder engagement, Long-term vision, and Policy co</w:t>
      </w:r>
      <w:r w:rsidR="00E87AF8">
        <w:rPr>
          <w:rFonts w:ascii="Calibri" w:eastAsia="Calibri" w:hAnsi="Calibri" w:cs="Times New Roman"/>
          <w:lang w:val="en-GB"/>
        </w:rPr>
        <w:t>-</w:t>
      </w:r>
      <w:r w:rsidRPr="00227AD5">
        <w:rPr>
          <w:rFonts w:ascii="Calibri" w:eastAsia="Calibri" w:hAnsi="Calibri" w:cs="Times New Roman"/>
          <w:lang w:val="en-GB"/>
        </w:rPr>
        <w:t xml:space="preserve">ordination) in selecting and prioritising SEE 2030 interventions. </w:t>
      </w:r>
    </w:p>
    <w:p w14:paraId="7CE8294B" w14:textId="77777777" w:rsidR="009838A9" w:rsidRPr="00227AD5" w:rsidRDefault="009838A9" w:rsidP="009838A9">
      <w:pPr>
        <w:spacing w:after="200" w:line="276" w:lineRule="auto"/>
        <w:rPr>
          <w:rFonts w:ascii="Calibri" w:eastAsia="Calibri" w:hAnsi="Calibri" w:cs="Times New Roman"/>
          <w:lang w:val="en-GB"/>
        </w:rPr>
      </w:pPr>
    </w:p>
    <w:p w14:paraId="71850D8A" w14:textId="77777777" w:rsidR="009838A9" w:rsidRPr="00227AD5" w:rsidRDefault="009838A9" w:rsidP="009838A9">
      <w:pPr>
        <w:keepNext/>
        <w:spacing w:after="200" w:line="240" w:lineRule="auto"/>
        <w:rPr>
          <w:rFonts w:ascii="Calibri" w:eastAsia="Calibri" w:hAnsi="Calibri" w:cs="Times New Roman"/>
          <w:i/>
          <w:iCs/>
          <w:color w:val="1F497D"/>
          <w:sz w:val="18"/>
          <w:szCs w:val="18"/>
          <w:lang w:val="en-GB"/>
        </w:rPr>
      </w:pPr>
      <w:r w:rsidRPr="00227AD5">
        <w:rPr>
          <w:rFonts w:ascii="Calibri" w:eastAsia="Calibri" w:hAnsi="Calibri" w:cs="Times New Roman"/>
          <w:i/>
          <w:iCs/>
          <w:color w:val="1F497D"/>
          <w:sz w:val="18"/>
          <w:szCs w:val="18"/>
          <w:lang w:val="en-GB"/>
        </w:rPr>
        <w:t xml:space="preserve">Figure </w:t>
      </w:r>
      <w:r w:rsidRPr="00227AD5">
        <w:rPr>
          <w:rFonts w:ascii="Calibri" w:eastAsia="Calibri" w:hAnsi="Calibri" w:cs="Times New Roman"/>
          <w:i/>
          <w:iCs/>
          <w:color w:val="1F497D"/>
          <w:sz w:val="18"/>
          <w:szCs w:val="18"/>
          <w:lang w:val="en-GB"/>
        </w:rPr>
        <w:fldChar w:fldCharType="begin"/>
      </w:r>
      <w:r w:rsidRPr="00227AD5">
        <w:rPr>
          <w:rFonts w:ascii="Calibri" w:eastAsia="Calibri" w:hAnsi="Calibri" w:cs="Times New Roman"/>
          <w:i/>
          <w:iCs/>
          <w:color w:val="1F497D"/>
          <w:sz w:val="18"/>
          <w:szCs w:val="18"/>
          <w:lang w:val="en-GB"/>
        </w:rPr>
        <w:instrText xml:space="preserve"> SEQ Figure \* ARABIC </w:instrText>
      </w:r>
      <w:r w:rsidRPr="00227AD5">
        <w:rPr>
          <w:rFonts w:ascii="Calibri" w:eastAsia="Calibri" w:hAnsi="Calibri" w:cs="Times New Roman"/>
          <w:i/>
          <w:iCs/>
          <w:color w:val="1F497D"/>
          <w:sz w:val="18"/>
          <w:szCs w:val="18"/>
          <w:lang w:val="en-GB"/>
        </w:rPr>
        <w:fldChar w:fldCharType="separate"/>
      </w:r>
      <w:r w:rsidRPr="00227AD5">
        <w:rPr>
          <w:rFonts w:ascii="Calibri" w:eastAsia="Calibri" w:hAnsi="Calibri" w:cs="Times New Roman"/>
          <w:i/>
          <w:iCs/>
          <w:color w:val="1F497D"/>
          <w:sz w:val="18"/>
          <w:szCs w:val="18"/>
          <w:lang w:val="en-GB"/>
        </w:rPr>
        <w:t>2</w:t>
      </w:r>
      <w:r w:rsidRPr="00227AD5">
        <w:rPr>
          <w:rFonts w:ascii="Calibri" w:eastAsia="Calibri" w:hAnsi="Calibri" w:cs="Times New Roman"/>
          <w:i/>
          <w:iCs/>
          <w:color w:val="1F497D"/>
          <w:sz w:val="18"/>
          <w:szCs w:val="18"/>
          <w:lang w:val="en-GB"/>
        </w:rPr>
        <w:fldChar w:fldCharType="end"/>
      </w:r>
      <w:r w:rsidRPr="00227AD5">
        <w:rPr>
          <w:rFonts w:ascii="Calibri" w:eastAsia="Calibri" w:hAnsi="Calibri" w:cs="Times New Roman"/>
          <w:i/>
          <w:iCs/>
          <w:color w:val="1F497D"/>
          <w:sz w:val="18"/>
          <w:szCs w:val="18"/>
          <w:lang w:val="en-GB"/>
        </w:rPr>
        <w:t>: SEE 2030 Programming Assessment Framework</w:t>
      </w:r>
    </w:p>
    <w:p w14:paraId="18656B89" w14:textId="77777777" w:rsidR="009838A9" w:rsidRPr="00227AD5" w:rsidRDefault="009838A9" w:rsidP="009838A9">
      <w:pPr>
        <w:spacing w:after="200" w:line="276" w:lineRule="auto"/>
        <w:rPr>
          <w:rFonts w:ascii="Calibri" w:eastAsia="Calibri" w:hAnsi="Calibri" w:cs="Times New Roman"/>
          <w:lang w:val="en-GB"/>
        </w:rPr>
      </w:pPr>
      <w:r w:rsidRPr="00227AD5">
        <w:rPr>
          <w:rFonts w:ascii="Calibri" w:eastAsia="Calibri" w:hAnsi="Calibri" w:cs="Times New Roman"/>
          <w:noProof/>
        </w:rPr>
        <mc:AlternateContent>
          <mc:Choice Requires="wpg">
            <w:drawing>
              <wp:anchor distT="0" distB="0" distL="114300" distR="114300" simplePos="0" relativeHeight="251662336" behindDoc="0" locked="0" layoutInCell="1" allowOverlap="1" wp14:anchorId="0D507400" wp14:editId="627EDBE5">
                <wp:simplePos x="0" y="0"/>
                <wp:positionH relativeFrom="column">
                  <wp:posOffset>581025</wp:posOffset>
                </wp:positionH>
                <wp:positionV relativeFrom="paragraph">
                  <wp:posOffset>213360</wp:posOffset>
                </wp:positionV>
                <wp:extent cx="3420110" cy="4375785"/>
                <wp:effectExtent l="19050" t="19050" r="27940" b="24765"/>
                <wp:wrapNone/>
                <wp:docPr id="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0110" cy="4375785"/>
                          <a:chOff x="3050" y="9587"/>
                          <a:chExt cx="5386" cy="6891"/>
                        </a:xfrm>
                      </wpg:grpSpPr>
                      <wps:wsp>
                        <wps:cNvPr id="7" name="Oval 13"/>
                        <wps:cNvSpPr>
                          <a:spLocks noChangeArrowheads="1"/>
                        </wps:cNvSpPr>
                        <wps:spPr bwMode="auto">
                          <a:xfrm>
                            <a:off x="3050" y="9587"/>
                            <a:ext cx="5386" cy="4997"/>
                          </a:xfrm>
                          <a:prstGeom prst="ellipse">
                            <a:avLst/>
                          </a:prstGeom>
                          <a:solidFill>
                            <a:srgbClr val="4F81BD">
                              <a:lumMod val="100000"/>
                              <a:lumOff val="0"/>
                              <a:alpha val="70000"/>
                            </a:srgbClr>
                          </a:solidFill>
                          <a:ln w="38100">
                            <a:solidFill>
                              <a:sysClr val="window" lastClr="FFFFFF">
                                <a:lumMod val="100000"/>
                                <a:lumOff val="0"/>
                              </a:sysClr>
                            </a:solidFill>
                            <a:round/>
                            <a:headEnd/>
                            <a:tailEnd/>
                          </a:ln>
                        </wps:spPr>
                        <wps:txbx>
                          <w:txbxContent>
                            <w:p w14:paraId="3394251D" w14:textId="77777777" w:rsidR="009838A9" w:rsidRPr="00EA2619" w:rsidRDefault="009838A9" w:rsidP="009838A9">
                              <w:pPr>
                                <w:spacing w:after="0"/>
                                <w:jc w:val="center"/>
                                <w:rPr>
                                  <w:b/>
                                  <w:bCs/>
                                  <w:color w:val="FFFFFF"/>
                                  <w:sz w:val="18"/>
                                  <w:szCs w:val="18"/>
                                </w:rPr>
                              </w:pPr>
                              <w:r w:rsidRPr="00EA2619">
                                <w:rPr>
                                  <w:b/>
                                  <w:bCs/>
                                  <w:color w:val="FFFFFF"/>
                                  <w:sz w:val="18"/>
                                  <w:szCs w:val="18"/>
                                </w:rPr>
                                <w:t>Eligibility:</w:t>
                              </w:r>
                            </w:p>
                            <w:p w14:paraId="5560A745" w14:textId="3C5BB2CD" w:rsidR="009838A9" w:rsidRPr="00EA2619" w:rsidRDefault="009838A9" w:rsidP="009838A9">
                              <w:pPr>
                                <w:spacing w:after="0"/>
                                <w:jc w:val="center"/>
                                <w:rPr>
                                  <w:b/>
                                  <w:bCs/>
                                  <w:color w:val="FFFFFF"/>
                                  <w:sz w:val="18"/>
                                  <w:szCs w:val="18"/>
                                </w:rPr>
                              </w:pPr>
                              <w:r w:rsidRPr="00EA2619">
                                <w:rPr>
                                  <w:b/>
                                  <w:bCs/>
                                  <w:color w:val="FFFFFF"/>
                                  <w:sz w:val="18"/>
                                  <w:szCs w:val="18"/>
                                </w:rPr>
                                <w:t xml:space="preserve">Development </w:t>
                              </w:r>
                              <w:r w:rsidRPr="00EA2619">
                                <w:rPr>
                                  <w:b/>
                                  <w:bCs/>
                                  <w:color w:val="FFFFFF"/>
                                  <w:sz w:val="18"/>
                                  <w:szCs w:val="18"/>
                                </w:rPr>
                                <w:br/>
                                <w:t>Co</w:t>
                              </w:r>
                              <w:r w:rsidR="00E87AF8">
                                <w:rPr>
                                  <w:b/>
                                  <w:bCs/>
                                  <w:color w:val="FFFFFF"/>
                                  <w:sz w:val="18"/>
                                  <w:szCs w:val="18"/>
                                </w:rPr>
                                <w:t>-</w:t>
                              </w:r>
                              <w:r w:rsidRPr="00EA2619">
                                <w:rPr>
                                  <w:b/>
                                  <w:bCs/>
                                  <w:color w:val="FFFFFF"/>
                                  <w:sz w:val="18"/>
                                  <w:szCs w:val="18"/>
                                </w:rPr>
                                <w:t>operation Effectiveness</w:t>
                              </w:r>
                            </w:p>
                          </w:txbxContent>
                        </wps:txbx>
                        <wps:bodyPr rot="0" vert="horz" wrap="square" lIns="54000" tIns="10800" rIns="54000" bIns="10800" anchor="t" anchorCtr="0" upright="1">
                          <a:noAutofit/>
                        </wps:bodyPr>
                      </wps:wsp>
                      <wps:wsp>
                        <wps:cNvPr id="8" name="Oval 14"/>
                        <wps:cNvSpPr>
                          <a:spLocks noChangeArrowheads="1"/>
                        </wps:cNvSpPr>
                        <wps:spPr bwMode="auto">
                          <a:xfrm>
                            <a:off x="3050" y="11481"/>
                            <a:ext cx="5386" cy="4997"/>
                          </a:xfrm>
                          <a:prstGeom prst="ellipse">
                            <a:avLst/>
                          </a:prstGeom>
                          <a:solidFill>
                            <a:srgbClr val="4F81BD">
                              <a:lumMod val="100000"/>
                              <a:lumOff val="0"/>
                              <a:alpha val="70000"/>
                            </a:srgbClr>
                          </a:solidFill>
                          <a:ln w="38100">
                            <a:solidFill>
                              <a:sysClr val="window" lastClr="FFFFFF">
                                <a:lumMod val="100000"/>
                                <a:lumOff val="0"/>
                              </a:sysClr>
                            </a:solidFill>
                            <a:round/>
                            <a:headEnd/>
                            <a:tailEnd/>
                          </a:ln>
                        </wps:spPr>
                        <wps:txbx>
                          <w:txbxContent>
                            <w:p w14:paraId="62403590" w14:textId="77777777" w:rsidR="009838A9" w:rsidRDefault="009838A9" w:rsidP="009838A9">
                              <w:pPr>
                                <w:jc w:val="center"/>
                                <w:rPr>
                                  <w:sz w:val="18"/>
                                  <w:szCs w:val="18"/>
                                </w:rPr>
                              </w:pPr>
                            </w:p>
                            <w:p w14:paraId="5453B718" w14:textId="77777777" w:rsidR="009838A9" w:rsidRDefault="009838A9" w:rsidP="009838A9">
                              <w:pPr>
                                <w:jc w:val="center"/>
                                <w:rPr>
                                  <w:sz w:val="18"/>
                                  <w:szCs w:val="18"/>
                                </w:rPr>
                              </w:pPr>
                            </w:p>
                            <w:p w14:paraId="2AA3EF22" w14:textId="77777777" w:rsidR="009838A9" w:rsidRPr="00EA2619" w:rsidRDefault="009838A9" w:rsidP="009838A9">
                              <w:pPr>
                                <w:spacing w:after="0"/>
                                <w:jc w:val="center"/>
                                <w:rPr>
                                  <w:b/>
                                  <w:bCs/>
                                  <w:color w:val="FFFFFF"/>
                                  <w:sz w:val="18"/>
                                  <w:szCs w:val="18"/>
                                </w:rPr>
                              </w:pPr>
                              <w:r w:rsidRPr="00EA2619">
                                <w:rPr>
                                  <w:b/>
                                  <w:bCs/>
                                  <w:color w:val="FFFFFF"/>
                                  <w:sz w:val="18"/>
                                  <w:szCs w:val="18"/>
                                </w:rPr>
                                <w:t xml:space="preserve">Eligibility: </w:t>
                              </w:r>
                            </w:p>
                            <w:p w14:paraId="6E19B5E7" w14:textId="77777777" w:rsidR="009838A9" w:rsidRPr="00EA2619" w:rsidRDefault="009838A9" w:rsidP="009838A9">
                              <w:pPr>
                                <w:spacing w:after="0"/>
                                <w:jc w:val="center"/>
                                <w:rPr>
                                  <w:b/>
                                  <w:bCs/>
                                  <w:color w:val="FFFFFF"/>
                                  <w:sz w:val="18"/>
                                  <w:szCs w:val="18"/>
                                </w:rPr>
                              </w:pPr>
                              <w:r w:rsidRPr="00EA2619">
                                <w:rPr>
                                  <w:b/>
                                  <w:bCs/>
                                  <w:color w:val="FFFFFF"/>
                                  <w:sz w:val="18"/>
                                  <w:szCs w:val="18"/>
                                </w:rPr>
                                <w:t>Instruments of Assistance</w:t>
                              </w:r>
                            </w:p>
                          </w:txbxContent>
                        </wps:txbx>
                        <wps:bodyPr rot="0" vert="horz" wrap="square" lIns="54000" tIns="10800" rIns="54000" bIns="10800" anchor="b" anchorCtr="0" upright="1">
                          <a:noAutofit/>
                        </wps:bodyPr>
                      </wps:wsp>
                      <wps:wsp>
                        <wps:cNvPr id="9" name="Text Box 15"/>
                        <wps:cNvSpPr txBox="1">
                          <a:spLocks noChangeArrowheads="1"/>
                        </wps:cNvSpPr>
                        <wps:spPr bwMode="auto">
                          <a:xfrm>
                            <a:off x="4264" y="12183"/>
                            <a:ext cx="3116" cy="2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82BCE" w14:textId="77777777" w:rsidR="009838A9" w:rsidRPr="00EA2619" w:rsidRDefault="009838A9" w:rsidP="009838A9">
                              <w:pPr>
                                <w:spacing w:after="0"/>
                                <w:jc w:val="center"/>
                                <w:rPr>
                                  <w:b/>
                                  <w:bCs/>
                                  <w:color w:val="FFFFFF"/>
                                  <w:sz w:val="18"/>
                                  <w:szCs w:val="18"/>
                                </w:rPr>
                              </w:pPr>
                              <w:r w:rsidRPr="00EA2619">
                                <w:rPr>
                                  <w:b/>
                                  <w:bCs/>
                                  <w:color w:val="FFFFFF"/>
                                  <w:sz w:val="18"/>
                                  <w:szCs w:val="18"/>
                                </w:rPr>
                                <w:t>Selectivity:</w:t>
                              </w:r>
                            </w:p>
                            <w:p w14:paraId="51553402" w14:textId="77777777" w:rsidR="009838A9" w:rsidRPr="00EA2619" w:rsidRDefault="009838A9" w:rsidP="009838A9">
                              <w:pPr>
                                <w:spacing w:after="0"/>
                                <w:jc w:val="center"/>
                                <w:rPr>
                                  <w:b/>
                                  <w:bCs/>
                                  <w:color w:val="FFFFFF"/>
                                  <w:sz w:val="18"/>
                                  <w:szCs w:val="18"/>
                                </w:rPr>
                              </w:pPr>
                              <w:r w:rsidRPr="00EA2619">
                                <w:rPr>
                                  <w:b/>
                                  <w:bCs/>
                                  <w:color w:val="FFFFFF"/>
                                  <w:sz w:val="18"/>
                                  <w:szCs w:val="18"/>
                                </w:rPr>
                                <w:t>Relevance and policy integration</w:t>
                              </w:r>
                            </w:p>
                            <w:p w14:paraId="4CB91715" w14:textId="77777777" w:rsidR="009838A9" w:rsidRPr="00EA2619" w:rsidRDefault="009838A9" w:rsidP="009838A9">
                              <w:pPr>
                                <w:spacing w:after="0"/>
                                <w:jc w:val="center"/>
                                <w:rPr>
                                  <w:b/>
                                  <w:bCs/>
                                  <w:color w:val="FFFFFF"/>
                                  <w:sz w:val="18"/>
                                  <w:szCs w:val="18"/>
                                </w:rPr>
                              </w:pPr>
                              <w:r w:rsidRPr="00EA2619">
                                <w:rPr>
                                  <w:b/>
                                  <w:bCs/>
                                  <w:color w:val="FFFFFF"/>
                                  <w:sz w:val="18"/>
                                  <w:szCs w:val="18"/>
                                </w:rPr>
                                <w:t>Private sector orientation</w:t>
                              </w:r>
                            </w:p>
                            <w:p w14:paraId="73B74FC0" w14:textId="77777777" w:rsidR="009838A9" w:rsidRPr="00EA2619" w:rsidRDefault="009838A9" w:rsidP="009838A9">
                              <w:pPr>
                                <w:spacing w:after="0"/>
                                <w:jc w:val="center"/>
                                <w:rPr>
                                  <w:b/>
                                  <w:bCs/>
                                  <w:color w:val="FFFFFF"/>
                                  <w:sz w:val="18"/>
                                  <w:szCs w:val="18"/>
                                </w:rPr>
                              </w:pPr>
                              <w:r w:rsidRPr="00EA2619">
                                <w:rPr>
                                  <w:b/>
                                  <w:bCs/>
                                  <w:color w:val="FFFFFF"/>
                                  <w:sz w:val="18"/>
                                  <w:szCs w:val="18"/>
                                </w:rPr>
                                <w:t>People-first focus</w:t>
                              </w:r>
                            </w:p>
                            <w:p w14:paraId="5A7B71C2" w14:textId="77777777" w:rsidR="009838A9" w:rsidRPr="00EA2619" w:rsidRDefault="009838A9" w:rsidP="009838A9">
                              <w:pPr>
                                <w:spacing w:after="0"/>
                                <w:jc w:val="center"/>
                                <w:rPr>
                                  <w:b/>
                                  <w:bCs/>
                                  <w:color w:val="FFFFFF"/>
                                  <w:sz w:val="18"/>
                                  <w:szCs w:val="18"/>
                                </w:rPr>
                              </w:pPr>
                              <w:r w:rsidRPr="00EA2619">
                                <w:rPr>
                                  <w:b/>
                                  <w:bCs/>
                                  <w:color w:val="FFFFFF"/>
                                  <w:sz w:val="18"/>
                                  <w:szCs w:val="18"/>
                                </w:rPr>
                                <w:t>Donor priority alignment</w:t>
                              </w:r>
                            </w:p>
                            <w:p w14:paraId="4CC806CD" w14:textId="77777777" w:rsidR="009838A9" w:rsidRPr="00EA2619" w:rsidRDefault="009838A9" w:rsidP="009838A9">
                              <w:pPr>
                                <w:spacing w:after="0"/>
                                <w:jc w:val="center"/>
                                <w:rPr>
                                  <w:b/>
                                  <w:bCs/>
                                  <w:color w:val="FFFFFF"/>
                                  <w:sz w:val="18"/>
                                  <w:szCs w:val="18"/>
                                </w:rPr>
                              </w:pPr>
                              <w:r w:rsidRPr="00EA2619">
                                <w:rPr>
                                  <w:b/>
                                  <w:bCs/>
                                  <w:color w:val="FFFFFF"/>
                                  <w:sz w:val="18"/>
                                  <w:szCs w:val="18"/>
                                </w:rPr>
                                <w:t>Stakeholder engagement</w:t>
                              </w:r>
                            </w:p>
                            <w:p w14:paraId="30B9D2D2" w14:textId="77777777" w:rsidR="009838A9" w:rsidRPr="00EA2619" w:rsidRDefault="009838A9" w:rsidP="009838A9">
                              <w:pPr>
                                <w:spacing w:after="0"/>
                                <w:jc w:val="center"/>
                                <w:rPr>
                                  <w:b/>
                                  <w:bCs/>
                                  <w:color w:val="FFFFFF"/>
                                  <w:sz w:val="18"/>
                                  <w:szCs w:val="18"/>
                                </w:rPr>
                              </w:pPr>
                              <w:r w:rsidRPr="00EA2619">
                                <w:rPr>
                                  <w:b/>
                                  <w:bCs/>
                                  <w:color w:val="FFFFFF"/>
                                  <w:sz w:val="18"/>
                                  <w:szCs w:val="18"/>
                                </w:rPr>
                                <w:t>Long-term vision</w:t>
                              </w:r>
                            </w:p>
                            <w:p w14:paraId="63D98ECA" w14:textId="24E72B61" w:rsidR="009838A9" w:rsidRPr="00EA2619" w:rsidRDefault="009838A9" w:rsidP="009838A9">
                              <w:pPr>
                                <w:spacing w:after="0"/>
                                <w:jc w:val="center"/>
                                <w:rPr>
                                  <w:b/>
                                  <w:bCs/>
                                  <w:color w:val="FFFFFF"/>
                                  <w:sz w:val="18"/>
                                  <w:szCs w:val="18"/>
                                </w:rPr>
                              </w:pPr>
                              <w:r w:rsidRPr="00EA2619">
                                <w:rPr>
                                  <w:b/>
                                  <w:bCs/>
                                  <w:color w:val="FFFFFF"/>
                                  <w:sz w:val="18"/>
                                  <w:szCs w:val="18"/>
                                </w:rPr>
                                <w:t>Policy co</w:t>
                              </w:r>
                              <w:r w:rsidR="00E87AF8">
                                <w:rPr>
                                  <w:b/>
                                  <w:bCs/>
                                  <w:color w:val="FFFFFF"/>
                                  <w:sz w:val="18"/>
                                  <w:szCs w:val="18"/>
                                </w:rPr>
                                <w:t>-</w:t>
                              </w:r>
                              <w:r w:rsidRPr="00EA2619">
                                <w:rPr>
                                  <w:b/>
                                  <w:bCs/>
                                  <w:color w:val="FFFFFF"/>
                                  <w:sz w:val="18"/>
                                  <w:szCs w:val="18"/>
                                </w:rPr>
                                <w:t>ordination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D507400" id="Group 12" o:spid="_x0000_s1026" style="position:absolute;margin-left:45.75pt;margin-top:16.8pt;width:269.3pt;height:344.55pt;z-index:251662336" coordorigin="3050,9587" coordsize="5386,6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">
                <v:oval id="Oval 13" o:spid="_x0000_s1027" style="position:absolute;left:3050;top:9587;width:5386;height:4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" fillcolor="#4f81bd" strokecolor="white" strokeweight="3pt">
                  <v:fill opacity="46003f"/>
                  <v:textbox inset="1.5mm,.3mm,1.5mm,.3mm">
                    <w:txbxContent>
                      <w:p w14:paraId="3394251D" w14:textId="77777777" w:rsidR="009838A9" w:rsidRPr="00EA2619" w:rsidRDefault="009838A9" w:rsidP="009838A9">
                        <w:pPr>
                          <w:spacing w:after="0"/>
                          <w:jc w:val="center"/>
                          <w:rPr>
                            <w:b/>
                            <w:bCs/>
                            <w:color w:val="FFFFFF"/>
                            <w:sz w:val="18"/>
                            <w:szCs w:val="18"/>
                          </w:rPr>
                        </w:pPr>
                        <w:r w:rsidRPr="00EA2619">
                          <w:rPr>
                            <w:b/>
                            <w:bCs/>
                            <w:color w:val="FFFFFF"/>
                            <w:sz w:val="18"/>
                            <w:szCs w:val="18"/>
                          </w:rPr>
                          <w:t>Eligibility:</w:t>
                        </w:r>
                      </w:p>
                      <w:p w14:paraId="5560A745" w14:textId="3C5BB2CD" w:rsidR="009838A9" w:rsidRPr="00EA2619" w:rsidRDefault="009838A9" w:rsidP="009838A9">
                        <w:pPr>
                          <w:spacing w:after="0"/>
                          <w:jc w:val="center"/>
                          <w:rPr>
                            <w:b/>
                            <w:bCs/>
                            <w:color w:val="FFFFFF"/>
                            <w:sz w:val="18"/>
                            <w:szCs w:val="18"/>
                          </w:rPr>
                        </w:pPr>
                        <w:r w:rsidRPr="00EA2619">
                          <w:rPr>
                            <w:b/>
                            <w:bCs/>
                            <w:color w:val="FFFFFF"/>
                            <w:sz w:val="18"/>
                            <w:szCs w:val="18"/>
                          </w:rPr>
                          <w:t xml:space="preserve">Development </w:t>
                        </w:r>
                        <w:r w:rsidRPr="00EA2619">
                          <w:rPr>
                            <w:b/>
                            <w:bCs/>
                            <w:color w:val="FFFFFF"/>
                            <w:sz w:val="18"/>
                            <w:szCs w:val="18"/>
                          </w:rPr>
                          <w:br/>
                          <w:t>Co</w:t>
                        </w:r>
                        <w:r w:rsidR="00E87AF8">
                          <w:rPr>
                            <w:b/>
                            <w:bCs/>
                            <w:color w:val="FFFFFF"/>
                            <w:sz w:val="18"/>
                            <w:szCs w:val="18"/>
                          </w:rPr>
                          <w:t>-</w:t>
                        </w:r>
                        <w:r w:rsidRPr="00EA2619">
                          <w:rPr>
                            <w:b/>
                            <w:bCs/>
                            <w:color w:val="FFFFFF"/>
                            <w:sz w:val="18"/>
                            <w:szCs w:val="18"/>
                          </w:rPr>
                          <w:t>operation Effectiveness</w:t>
                        </w:r>
                      </w:p>
                    </w:txbxContent>
                  </v:textbox>
                </v:oval>
                <v:oval id="Oval 14" o:spid="_x0000_s1028" style="position:absolute;left:3050;top:11481;width:5386;height:499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" fillcolor="#4f81bd" strokecolor="white" strokeweight="3pt">
                  <v:fill opacity="46003f"/>
                  <v:textbox inset="1.5mm,.3mm,1.5mm,.3mm">
                    <w:txbxContent>
                      <w:p w14:paraId="62403590" w14:textId="77777777" w:rsidR="009838A9" w:rsidRDefault="009838A9" w:rsidP="009838A9">
                        <w:pPr>
                          <w:jc w:val="center"/>
                          <w:rPr>
                            <w:sz w:val="18"/>
                            <w:szCs w:val="18"/>
                          </w:rPr>
                        </w:pPr>
                      </w:p>
                      <w:p w14:paraId="5453B718" w14:textId="77777777" w:rsidR="009838A9" w:rsidRDefault="009838A9" w:rsidP="009838A9">
                        <w:pPr>
                          <w:jc w:val="center"/>
                          <w:rPr>
                            <w:sz w:val="18"/>
                            <w:szCs w:val="18"/>
                          </w:rPr>
                        </w:pPr>
                      </w:p>
                      <w:p w14:paraId="2AA3EF22" w14:textId="77777777" w:rsidR="009838A9" w:rsidRPr="00EA2619" w:rsidRDefault="009838A9" w:rsidP="009838A9">
                        <w:pPr>
                          <w:spacing w:after="0"/>
                          <w:jc w:val="center"/>
                          <w:rPr>
                            <w:b/>
                            <w:bCs/>
                            <w:color w:val="FFFFFF"/>
                            <w:sz w:val="18"/>
                            <w:szCs w:val="18"/>
                          </w:rPr>
                        </w:pPr>
                        <w:r w:rsidRPr="00EA2619">
                          <w:rPr>
                            <w:b/>
                            <w:bCs/>
                            <w:color w:val="FFFFFF"/>
                            <w:sz w:val="18"/>
                            <w:szCs w:val="18"/>
                          </w:rPr>
                          <w:t xml:space="preserve">Eligibility: </w:t>
                        </w:r>
                      </w:p>
                      <w:p w14:paraId="6E19B5E7" w14:textId="77777777" w:rsidR="009838A9" w:rsidRPr="00EA2619" w:rsidRDefault="009838A9" w:rsidP="009838A9">
                        <w:pPr>
                          <w:spacing w:after="0"/>
                          <w:jc w:val="center"/>
                          <w:rPr>
                            <w:b/>
                            <w:bCs/>
                            <w:color w:val="FFFFFF"/>
                            <w:sz w:val="18"/>
                            <w:szCs w:val="18"/>
                          </w:rPr>
                        </w:pPr>
                        <w:r w:rsidRPr="00EA2619">
                          <w:rPr>
                            <w:b/>
                            <w:bCs/>
                            <w:color w:val="FFFFFF"/>
                            <w:sz w:val="18"/>
                            <w:szCs w:val="18"/>
                          </w:rPr>
                          <w:t>Instruments of Assistance</w:t>
                        </w:r>
                      </w:p>
                    </w:txbxContent>
                  </v:textbox>
                </v:oval>
                <v:shapetype id="_x0000_t202" coordsize="21600,21600" o:spt="202" path="m,l,21600r21600,l21600,xe">
                  <v:stroke joinstyle="miter"/>
                  <v:path gradientshapeok="t" o:connecttype="rect"/>
                </v:shapetype>
                <v:shape id="Text Box 15" o:spid="_x0000_s1029" type="#_x0000_t202" style="position:absolute;left:4264;top:12183;width:3116;height:2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03182BCE" w14:textId="77777777" w:rsidR="009838A9" w:rsidRPr="00EA2619" w:rsidRDefault="009838A9" w:rsidP="009838A9">
                        <w:pPr>
                          <w:spacing w:after="0"/>
                          <w:jc w:val="center"/>
                          <w:rPr>
                            <w:b/>
                            <w:bCs/>
                            <w:color w:val="FFFFFF"/>
                            <w:sz w:val="18"/>
                            <w:szCs w:val="18"/>
                          </w:rPr>
                        </w:pPr>
                        <w:r w:rsidRPr="00EA2619">
                          <w:rPr>
                            <w:b/>
                            <w:bCs/>
                            <w:color w:val="FFFFFF"/>
                            <w:sz w:val="18"/>
                            <w:szCs w:val="18"/>
                          </w:rPr>
                          <w:t>Selectivity:</w:t>
                        </w:r>
                      </w:p>
                      <w:p w14:paraId="51553402" w14:textId="77777777" w:rsidR="009838A9" w:rsidRPr="00EA2619" w:rsidRDefault="009838A9" w:rsidP="009838A9">
                        <w:pPr>
                          <w:spacing w:after="0"/>
                          <w:jc w:val="center"/>
                          <w:rPr>
                            <w:b/>
                            <w:bCs/>
                            <w:color w:val="FFFFFF"/>
                            <w:sz w:val="18"/>
                            <w:szCs w:val="18"/>
                          </w:rPr>
                        </w:pPr>
                        <w:r w:rsidRPr="00EA2619">
                          <w:rPr>
                            <w:b/>
                            <w:bCs/>
                            <w:color w:val="FFFFFF"/>
                            <w:sz w:val="18"/>
                            <w:szCs w:val="18"/>
                          </w:rPr>
                          <w:t>Relevance and policy integration</w:t>
                        </w:r>
                      </w:p>
                      <w:p w14:paraId="4CB91715" w14:textId="77777777" w:rsidR="009838A9" w:rsidRPr="00EA2619" w:rsidRDefault="009838A9" w:rsidP="009838A9">
                        <w:pPr>
                          <w:spacing w:after="0"/>
                          <w:jc w:val="center"/>
                          <w:rPr>
                            <w:b/>
                            <w:bCs/>
                            <w:color w:val="FFFFFF"/>
                            <w:sz w:val="18"/>
                            <w:szCs w:val="18"/>
                          </w:rPr>
                        </w:pPr>
                        <w:r w:rsidRPr="00EA2619">
                          <w:rPr>
                            <w:b/>
                            <w:bCs/>
                            <w:color w:val="FFFFFF"/>
                            <w:sz w:val="18"/>
                            <w:szCs w:val="18"/>
                          </w:rPr>
                          <w:t>Private sector orientation</w:t>
                        </w:r>
                      </w:p>
                      <w:p w14:paraId="73B74FC0" w14:textId="77777777" w:rsidR="009838A9" w:rsidRPr="00EA2619" w:rsidRDefault="009838A9" w:rsidP="009838A9">
                        <w:pPr>
                          <w:spacing w:after="0"/>
                          <w:jc w:val="center"/>
                          <w:rPr>
                            <w:b/>
                            <w:bCs/>
                            <w:color w:val="FFFFFF"/>
                            <w:sz w:val="18"/>
                            <w:szCs w:val="18"/>
                          </w:rPr>
                        </w:pPr>
                        <w:r w:rsidRPr="00EA2619">
                          <w:rPr>
                            <w:b/>
                            <w:bCs/>
                            <w:color w:val="FFFFFF"/>
                            <w:sz w:val="18"/>
                            <w:szCs w:val="18"/>
                          </w:rPr>
                          <w:t>People-first focus</w:t>
                        </w:r>
                      </w:p>
                      <w:p w14:paraId="5A7B71C2" w14:textId="77777777" w:rsidR="009838A9" w:rsidRPr="00EA2619" w:rsidRDefault="009838A9" w:rsidP="009838A9">
                        <w:pPr>
                          <w:spacing w:after="0"/>
                          <w:jc w:val="center"/>
                          <w:rPr>
                            <w:b/>
                            <w:bCs/>
                            <w:color w:val="FFFFFF"/>
                            <w:sz w:val="18"/>
                            <w:szCs w:val="18"/>
                          </w:rPr>
                        </w:pPr>
                        <w:r w:rsidRPr="00EA2619">
                          <w:rPr>
                            <w:b/>
                            <w:bCs/>
                            <w:color w:val="FFFFFF"/>
                            <w:sz w:val="18"/>
                            <w:szCs w:val="18"/>
                          </w:rPr>
                          <w:t>Donor priority alignment</w:t>
                        </w:r>
                      </w:p>
                      <w:p w14:paraId="4CC806CD" w14:textId="77777777" w:rsidR="009838A9" w:rsidRPr="00EA2619" w:rsidRDefault="009838A9" w:rsidP="009838A9">
                        <w:pPr>
                          <w:spacing w:after="0"/>
                          <w:jc w:val="center"/>
                          <w:rPr>
                            <w:b/>
                            <w:bCs/>
                            <w:color w:val="FFFFFF"/>
                            <w:sz w:val="18"/>
                            <w:szCs w:val="18"/>
                          </w:rPr>
                        </w:pPr>
                        <w:r w:rsidRPr="00EA2619">
                          <w:rPr>
                            <w:b/>
                            <w:bCs/>
                            <w:color w:val="FFFFFF"/>
                            <w:sz w:val="18"/>
                            <w:szCs w:val="18"/>
                          </w:rPr>
                          <w:t>Stakeholder engagement</w:t>
                        </w:r>
                      </w:p>
                      <w:p w14:paraId="30B9D2D2" w14:textId="77777777" w:rsidR="009838A9" w:rsidRPr="00EA2619" w:rsidRDefault="009838A9" w:rsidP="009838A9">
                        <w:pPr>
                          <w:spacing w:after="0"/>
                          <w:jc w:val="center"/>
                          <w:rPr>
                            <w:b/>
                            <w:bCs/>
                            <w:color w:val="FFFFFF"/>
                            <w:sz w:val="18"/>
                            <w:szCs w:val="18"/>
                          </w:rPr>
                        </w:pPr>
                        <w:r w:rsidRPr="00EA2619">
                          <w:rPr>
                            <w:b/>
                            <w:bCs/>
                            <w:color w:val="FFFFFF"/>
                            <w:sz w:val="18"/>
                            <w:szCs w:val="18"/>
                          </w:rPr>
                          <w:t>Long-term vision</w:t>
                        </w:r>
                      </w:p>
                      <w:p w14:paraId="63D98ECA" w14:textId="24E72B61" w:rsidR="009838A9" w:rsidRPr="00EA2619" w:rsidRDefault="009838A9" w:rsidP="009838A9">
                        <w:pPr>
                          <w:spacing w:after="0"/>
                          <w:jc w:val="center"/>
                          <w:rPr>
                            <w:b/>
                            <w:bCs/>
                            <w:color w:val="FFFFFF"/>
                            <w:sz w:val="18"/>
                            <w:szCs w:val="18"/>
                          </w:rPr>
                        </w:pPr>
                        <w:r w:rsidRPr="00EA2619">
                          <w:rPr>
                            <w:b/>
                            <w:bCs/>
                            <w:color w:val="FFFFFF"/>
                            <w:sz w:val="18"/>
                            <w:szCs w:val="18"/>
                          </w:rPr>
                          <w:t>Policy co</w:t>
                        </w:r>
                        <w:r w:rsidR="00E87AF8">
                          <w:rPr>
                            <w:b/>
                            <w:bCs/>
                            <w:color w:val="FFFFFF"/>
                            <w:sz w:val="18"/>
                            <w:szCs w:val="18"/>
                          </w:rPr>
                          <w:t>-</w:t>
                        </w:r>
                        <w:r w:rsidRPr="00EA2619">
                          <w:rPr>
                            <w:b/>
                            <w:bCs/>
                            <w:color w:val="FFFFFF"/>
                            <w:sz w:val="18"/>
                            <w:szCs w:val="18"/>
                          </w:rPr>
                          <w:t>ordination</w:t>
                        </w:r>
                      </w:p>
                    </w:txbxContent>
                  </v:textbox>
                </v:shape>
              </v:group>
            </w:pict>
          </mc:Fallback>
        </mc:AlternateContent>
      </w:r>
    </w:p>
    <w:p w14:paraId="05DB18C0" w14:textId="77777777" w:rsidR="009838A9" w:rsidRPr="00227AD5" w:rsidRDefault="009838A9" w:rsidP="009838A9">
      <w:pPr>
        <w:rPr>
          <w:rFonts w:ascii="Calibri" w:eastAsia="Calibri" w:hAnsi="Calibri" w:cs="Times New Roman"/>
          <w:lang w:val="en-GB"/>
        </w:rPr>
      </w:pPr>
    </w:p>
    <w:p w14:paraId="41513725" w14:textId="77777777" w:rsidR="009838A9" w:rsidRPr="00227AD5" w:rsidRDefault="009838A9" w:rsidP="009838A9">
      <w:pPr>
        <w:rPr>
          <w:rFonts w:ascii="Calibri" w:eastAsia="Calibri" w:hAnsi="Calibri" w:cs="Times New Roman"/>
          <w:lang w:val="en-GB"/>
        </w:rPr>
      </w:pPr>
    </w:p>
    <w:p w14:paraId="63BD6586" w14:textId="77777777" w:rsidR="009838A9" w:rsidRPr="00227AD5" w:rsidRDefault="009838A9" w:rsidP="009838A9">
      <w:pPr>
        <w:rPr>
          <w:rFonts w:ascii="Calibri" w:eastAsia="Calibri" w:hAnsi="Calibri" w:cs="Times New Roman"/>
          <w:lang w:val="en-GB"/>
        </w:rPr>
      </w:pPr>
    </w:p>
    <w:p w14:paraId="73ECB2C6" w14:textId="77777777" w:rsidR="009838A9" w:rsidRPr="00227AD5" w:rsidRDefault="009838A9" w:rsidP="009838A9">
      <w:pPr>
        <w:rPr>
          <w:rFonts w:ascii="Calibri" w:eastAsia="Calibri" w:hAnsi="Calibri" w:cs="Times New Roman"/>
          <w:lang w:val="en-GB"/>
        </w:rPr>
      </w:pPr>
    </w:p>
    <w:p w14:paraId="5A9341C0" w14:textId="77777777" w:rsidR="009838A9" w:rsidRPr="00227AD5" w:rsidRDefault="009838A9" w:rsidP="009838A9">
      <w:pPr>
        <w:rPr>
          <w:rFonts w:ascii="Calibri" w:eastAsia="Calibri" w:hAnsi="Calibri" w:cs="Times New Roman"/>
          <w:lang w:val="en-GB"/>
        </w:rPr>
      </w:pPr>
    </w:p>
    <w:p w14:paraId="5E4E4B46" w14:textId="77777777" w:rsidR="009838A9" w:rsidRPr="00227AD5" w:rsidRDefault="009838A9" w:rsidP="009838A9">
      <w:pPr>
        <w:rPr>
          <w:rFonts w:ascii="Calibri" w:eastAsia="Calibri" w:hAnsi="Calibri" w:cs="Times New Roman"/>
          <w:lang w:val="en-GB"/>
        </w:rPr>
      </w:pPr>
    </w:p>
    <w:p w14:paraId="7CAAA52D" w14:textId="77777777" w:rsidR="009838A9" w:rsidRPr="00227AD5" w:rsidRDefault="009838A9" w:rsidP="009838A9">
      <w:pPr>
        <w:rPr>
          <w:rFonts w:ascii="Calibri" w:eastAsia="Calibri" w:hAnsi="Calibri" w:cs="Times New Roman"/>
          <w:lang w:val="en-GB"/>
        </w:rPr>
      </w:pPr>
    </w:p>
    <w:p w14:paraId="398FAD01" w14:textId="77777777" w:rsidR="009838A9" w:rsidRPr="00227AD5" w:rsidRDefault="009838A9" w:rsidP="009838A9">
      <w:pPr>
        <w:rPr>
          <w:rFonts w:ascii="Calibri" w:eastAsia="Calibri" w:hAnsi="Calibri" w:cs="Times New Roman"/>
          <w:lang w:val="en-GB"/>
        </w:rPr>
      </w:pPr>
    </w:p>
    <w:p w14:paraId="57ECCA5E" w14:textId="77777777" w:rsidR="009838A9" w:rsidRPr="00227AD5" w:rsidRDefault="009838A9" w:rsidP="009838A9">
      <w:pPr>
        <w:rPr>
          <w:rFonts w:ascii="Calibri" w:eastAsia="Calibri" w:hAnsi="Calibri" w:cs="Times New Roman"/>
          <w:lang w:val="en-GB"/>
        </w:rPr>
      </w:pPr>
    </w:p>
    <w:p w14:paraId="321C4B2C" w14:textId="77777777" w:rsidR="009838A9" w:rsidRPr="00227AD5" w:rsidRDefault="009838A9" w:rsidP="009838A9">
      <w:pPr>
        <w:rPr>
          <w:rFonts w:ascii="Calibri" w:eastAsia="Calibri" w:hAnsi="Calibri" w:cs="Times New Roman"/>
          <w:lang w:val="en-GB"/>
        </w:rPr>
      </w:pPr>
    </w:p>
    <w:p w14:paraId="027C945B" w14:textId="77777777" w:rsidR="009838A9" w:rsidRPr="00227AD5" w:rsidRDefault="009838A9" w:rsidP="009838A9">
      <w:pPr>
        <w:rPr>
          <w:rFonts w:ascii="Calibri" w:eastAsia="Calibri" w:hAnsi="Calibri" w:cs="Times New Roman"/>
          <w:lang w:val="en-GB"/>
        </w:rPr>
      </w:pPr>
    </w:p>
    <w:p w14:paraId="00541179" w14:textId="77777777" w:rsidR="009838A9" w:rsidRPr="00227AD5" w:rsidRDefault="009838A9" w:rsidP="009838A9">
      <w:pPr>
        <w:rPr>
          <w:rFonts w:ascii="Calibri" w:eastAsia="Calibri" w:hAnsi="Calibri" w:cs="Times New Roman"/>
          <w:lang w:val="en-GB"/>
        </w:rPr>
      </w:pPr>
    </w:p>
    <w:p w14:paraId="342EFB18" w14:textId="77777777" w:rsidR="009838A9" w:rsidRPr="00227AD5" w:rsidRDefault="009838A9" w:rsidP="009838A9">
      <w:pPr>
        <w:rPr>
          <w:rFonts w:ascii="Calibri" w:eastAsia="Calibri" w:hAnsi="Calibri" w:cs="Times New Roman"/>
          <w:lang w:val="en-GB"/>
        </w:rPr>
      </w:pPr>
    </w:p>
    <w:p w14:paraId="096391AC" w14:textId="77777777" w:rsidR="009838A9" w:rsidRPr="00227AD5" w:rsidRDefault="009838A9" w:rsidP="009838A9">
      <w:pPr>
        <w:rPr>
          <w:rFonts w:ascii="Calibri" w:eastAsia="Calibri" w:hAnsi="Calibri" w:cs="Times New Roman"/>
          <w:lang w:val="en-GB"/>
        </w:rPr>
      </w:pPr>
    </w:p>
    <w:p w14:paraId="767E261C" w14:textId="77777777" w:rsidR="009838A9" w:rsidRPr="00227AD5" w:rsidRDefault="009838A9" w:rsidP="009838A9">
      <w:pPr>
        <w:rPr>
          <w:rFonts w:ascii="Calibri" w:eastAsia="Calibri" w:hAnsi="Calibri" w:cs="Times New Roman"/>
          <w:lang w:val="en-GB"/>
        </w:rPr>
      </w:pPr>
    </w:p>
    <w:p w14:paraId="6088FF66" w14:textId="77777777" w:rsidR="009838A9" w:rsidRPr="00227AD5" w:rsidRDefault="009838A9" w:rsidP="009838A9">
      <w:pPr>
        <w:numPr>
          <w:ilvl w:val="0"/>
          <w:numId w:val="1"/>
        </w:numPr>
        <w:tabs>
          <w:tab w:val="left" w:pos="284"/>
        </w:tabs>
        <w:spacing w:after="200" w:line="276" w:lineRule="auto"/>
        <w:ind w:hanging="720"/>
        <w:contextualSpacing/>
        <w:rPr>
          <w:rFonts w:ascii="Calibri" w:eastAsia="Calibri" w:hAnsi="Calibri" w:cs="Times New Roman"/>
          <w:b/>
          <w:lang w:val="en-GB"/>
        </w:rPr>
      </w:pPr>
      <w:r w:rsidRPr="00227AD5">
        <w:rPr>
          <w:rFonts w:ascii="Calibri" w:eastAsia="Calibri" w:hAnsi="Calibri" w:cs="Times New Roman"/>
          <w:b/>
          <w:lang w:val="en-GB"/>
        </w:rPr>
        <w:t xml:space="preserve">Conclusion: </w:t>
      </w:r>
    </w:p>
    <w:p w14:paraId="02BAD662" w14:textId="1A89D488" w:rsidR="009838A9" w:rsidRPr="00227AD5" w:rsidRDefault="009838A9" w:rsidP="009838A9">
      <w:pPr>
        <w:jc w:val="both"/>
        <w:rPr>
          <w:rFonts w:ascii="Calibri" w:eastAsia="Calibri" w:hAnsi="Calibri" w:cs="Times New Roman"/>
          <w:lang w:val="en-GB"/>
        </w:rPr>
      </w:pPr>
      <w:r w:rsidRPr="00227AD5">
        <w:rPr>
          <w:rFonts w:ascii="Calibri" w:eastAsia="Calibri" w:hAnsi="Calibri" w:cs="Times New Roman"/>
          <w:lang w:val="en-GB"/>
        </w:rPr>
        <w:t xml:space="preserve">RCC will guide every stage of </w:t>
      </w:r>
      <w:r w:rsidR="001B2F35">
        <w:rPr>
          <w:rFonts w:ascii="Calibri" w:eastAsia="Calibri" w:hAnsi="Calibri" w:cs="Times New Roman"/>
          <w:lang w:val="en-GB"/>
        </w:rPr>
        <w:t xml:space="preserve">the </w:t>
      </w:r>
      <w:r w:rsidRPr="00227AD5">
        <w:rPr>
          <w:rFonts w:ascii="Calibri" w:eastAsia="Calibri" w:hAnsi="Calibri" w:cs="Times New Roman"/>
          <w:lang w:val="en-GB"/>
        </w:rPr>
        <w:t>programming process with full co</w:t>
      </w:r>
      <w:r w:rsidR="001B2F35">
        <w:rPr>
          <w:rFonts w:ascii="Calibri" w:eastAsia="Calibri" w:hAnsi="Calibri" w:cs="Times New Roman"/>
          <w:lang w:val="en-GB"/>
        </w:rPr>
        <w:t>-</w:t>
      </w:r>
      <w:r w:rsidRPr="00227AD5">
        <w:rPr>
          <w:rFonts w:ascii="Calibri" w:eastAsia="Calibri" w:hAnsi="Calibri" w:cs="Times New Roman"/>
          <w:lang w:val="en-GB"/>
        </w:rPr>
        <w:t xml:space="preserve">ordination and consultation with the SEECP participants through the SEE 2030 Monitoring Committee to ensure that the set out eligibility and selection criteria are met successfully. The programming process will commence once the Monitoring Committee approves the programming selection and eligibility criteria. As mentioned above, both groups of criteria would be amended according to the SEE 2030 Strategy biannual updates, if necessary. </w:t>
      </w:r>
    </w:p>
    <w:p w14:paraId="54BF1769" w14:textId="77777777" w:rsidR="009838A9" w:rsidRPr="00227AD5" w:rsidRDefault="009838A9" w:rsidP="009838A9">
      <w:pPr>
        <w:jc w:val="both"/>
        <w:rPr>
          <w:rFonts w:ascii="Calibri" w:eastAsia="Calibri" w:hAnsi="Calibri" w:cs="Times New Roman"/>
          <w:lang w:val="en-GB"/>
        </w:rPr>
      </w:pPr>
      <w:r w:rsidRPr="00227AD5">
        <w:rPr>
          <w:rFonts w:ascii="Calibri" w:eastAsia="Calibri" w:hAnsi="Calibri" w:cs="Times New Roman"/>
          <w:lang w:val="en-GB"/>
        </w:rPr>
        <w:t xml:space="preserve">The stages mentioned in Part 2 will have biannual cycles. A new biannual cycle of the programming will be initiated after each update of the SEE 2030 Strategy. Each biannual cycle will be completed with a multilateral fundraising meeting.     </w:t>
      </w:r>
    </w:p>
    <w:p w14:paraId="41F1FEA0" w14:textId="2B239208" w:rsidR="009838A9" w:rsidRPr="00227AD5" w:rsidRDefault="009838A9" w:rsidP="009838A9">
      <w:pPr>
        <w:jc w:val="both"/>
        <w:rPr>
          <w:rFonts w:ascii="Calibri" w:eastAsia="Calibri" w:hAnsi="Calibri" w:cs="Times New Roman"/>
          <w:lang w:val="en-GB"/>
        </w:rPr>
      </w:pPr>
      <w:r w:rsidRPr="00227AD5">
        <w:rPr>
          <w:rFonts w:ascii="Calibri" w:eastAsia="Calibri" w:hAnsi="Calibri" w:cs="Times New Roman"/>
          <w:lang w:val="en-GB"/>
        </w:rPr>
        <w:t xml:space="preserve">For the period 2021-2023 RCC proposes the selection and eligibility criteria as above. </w:t>
      </w:r>
    </w:p>
    <w:p w14:paraId="7BC204AE" w14:textId="77777777" w:rsidR="009838A9" w:rsidRPr="00227AD5" w:rsidRDefault="009838A9" w:rsidP="009838A9">
      <w:pPr>
        <w:jc w:val="both"/>
        <w:rPr>
          <w:rFonts w:ascii="Calibri" w:eastAsia="Calibri" w:hAnsi="Calibri" w:cs="Times New Roman"/>
          <w:lang w:val="en-GB"/>
        </w:rPr>
      </w:pPr>
      <w:r w:rsidRPr="00227AD5">
        <w:rPr>
          <w:rFonts w:ascii="Calibri" w:eastAsia="Calibri" w:hAnsi="Calibri" w:cs="Times New Roman"/>
          <w:lang w:val="en-GB"/>
        </w:rPr>
        <w:t xml:space="preserve">Upon their approval by the Monitoring Committee, the RCC Secretariat will launch the Programming Inception phase during which the programming framework is to be prepared through communication with stakeholders and compilation of their project concepts.  </w:t>
      </w:r>
    </w:p>
    <w:p w14:paraId="5D3A8F21" w14:textId="77777777" w:rsidR="00897199" w:rsidRPr="00227AD5" w:rsidRDefault="00897199">
      <w:pPr>
        <w:rPr>
          <w:lang w:val="en-GB"/>
        </w:rPr>
      </w:pPr>
    </w:p>
    <w:sectPr w:rsidR="00897199" w:rsidRPr="00227AD5">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47D99" w16cex:dateUtc="2022-06-03T10: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685C82" w16cid:durableId="26447D9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4B752" w14:textId="77777777" w:rsidR="00545296" w:rsidRDefault="00545296" w:rsidP="009838A9">
      <w:pPr>
        <w:spacing w:after="0" w:line="240" w:lineRule="auto"/>
      </w:pPr>
      <w:r>
        <w:separator/>
      </w:r>
    </w:p>
  </w:endnote>
  <w:endnote w:type="continuationSeparator" w:id="0">
    <w:p w14:paraId="400515C7" w14:textId="77777777" w:rsidR="00545296" w:rsidRDefault="00545296" w:rsidP="00983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50C75" w14:textId="77777777" w:rsidR="00545296" w:rsidRDefault="00545296" w:rsidP="009838A9">
      <w:pPr>
        <w:spacing w:after="0" w:line="240" w:lineRule="auto"/>
      </w:pPr>
      <w:r>
        <w:separator/>
      </w:r>
    </w:p>
  </w:footnote>
  <w:footnote w:type="continuationSeparator" w:id="0">
    <w:p w14:paraId="640243B4" w14:textId="77777777" w:rsidR="00545296" w:rsidRDefault="00545296" w:rsidP="009838A9">
      <w:pPr>
        <w:spacing w:after="0" w:line="240" w:lineRule="auto"/>
      </w:pPr>
      <w:r>
        <w:continuationSeparator/>
      </w:r>
    </w:p>
  </w:footnote>
  <w:footnote w:id="1">
    <w:p w14:paraId="69449A0D" w14:textId="77777777" w:rsidR="009838A9" w:rsidRDefault="009838A9" w:rsidP="009838A9">
      <w:pPr>
        <w:pStyle w:val="FootnoteText"/>
      </w:pPr>
      <w:r>
        <w:rPr>
          <w:rStyle w:val="FootnoteReference"/>
        </w:rPr>
        <w:footnoteRef/>
      </w:r>
      <w:r>
        <w:t xml:space="preserve"> OECD (2018), “Applying the eight building blocks of PCSD in the implementation of the 2030 Agenda”  </w:t>
      </w:r>
    </w:p>
  </w:footnote>
  <w:footnote w:id="2">
    <w:p w14:paraId="07D6DC63" w14:textId="77777777" w:rsidR="009838A9" w:rsidRDefault="009838A9" w:rsidP="009838A9">
      <w:pPr>
        <w:pStyle w:val="FootnoteText"/>
      </w:pPr>
      <w:r>
        <w:rPr>
          <w:rStyle w:val="FootnoteReference"/>
        </w:rPr>
        <w:footnoteRef/>
      </w:r>
      <w:r>
        <w:t xml:space="preserve"> Ibis.</w:t>
      </w:r>
    </w:p>
  </w:footnote>
  <w:footnote w:id="3">
    <w:p w14:paraId="58D17883" w14:textId="77777777" w:rsidR="009838A9" w:rsidRDefault="009838A9" w:rsidP="009838A9">
      <w:pPr>
        <w:pStyle w:val="FootnoteText"/>
      </w:pPr>
      <w:r>
        <w:rPr>
          <w:rStyle w:val="FootnoteReference"/>
        </w:rPr>
        <w:footnoteRef/>
      </w:r>
      <w:r>
        <w:t xml:space="preserve"> Please note that the OECD’s ODA data is available with a 1-year lag.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14114"/>
    <w:multiLevelType w:val="hybridMultilevel"/>
    <w:tmpl w:val="DC461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2423CE9"/>
    <w:multiLevelType w:val="hybridMultilevel"/>
    <w:tmpl w:val="CC00C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7E5A63"/>
    <w:multiLevelType w:val="hybridMultilevel"/>
    <w:tmpl w:val="D4EE532C"/>
    <w:lvl w:ilvl="0" w:tplc="FE36E53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CE17643"/>
    <w:multiLevelType w:val="hybridMultilevel"/>
    <w:tmpl w:val="15D85376"/>
    <w:lvl w:ilvl="0" w:tplc="572483F2">
      <w:start w:val="1"/>
      <w:numFmt w:val="lowerRoman"/>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4B0AF6"/>
    <w:multiLevelType w:val="hybridMultilevel"/>
    <w:tmpl w:val="F118C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A65DB4"/>
    <w:multiLevelType w:val="hybridMultilevel"/>
    <w:tmpl w:val="20B4FA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YzNDM0NbI0tDAyMTZW0lEKTi0uzszPAykwrAUA3UsNiSwAAAA="/>
  </w:docVars>
  <w:rsids>
    <w:rsidRoot w:val="009838A9"/>
    <w:rsid w:val="00052D77"/>
    <w:rsid w:val="000D6035"/>
    <w:rsid w:val="00125776"/>
    <w:rsid w:val="001B2F35"/>
    <w:rsid w:val="001D2E2F"/>
    <w:rsid w:val="001D3614"/>
    <w:rsid w:val="001F03D4"/>
    <w:rsid w:val="00227AD5"/>
    <w:rsid w:val="00294375"/>
    <w:rsid w:val="002E4126"/>
    <w:rsid w:val="003820CA"/>
    <w:rsid w:val="003D7D19"/>
    <w:rsid w:val="004F6127"/>
    <w:rsid w:val="00545296"/>
    <w:rsid w:val="005D3E97"/>
    <w:rsid w:val="006113AB"/>
    <w:rsid w:val="006310C2"/>
    <w:rsid w:val="006A451D"/>
    <w:rsid w:val="006F034F"/>
    <w:rsid w:val="007441F7"/>
    <w:rsid w:val="00897199"/>
    <w:rsid w:val="008D3A6D"/>
    <w:rsid w:val="009838A9"/>
    <w:rsid w:val="00A15311"/>
    <w:rsid w:val="00A562BB"/>
    <w:rsid w:val="00A60A64"/>
    <w:rsid w:val="00C1075E"/>
    <w:rsid w:val="00C40B63"/>
    <w:rsid w:val="00CD692D"/>
    <w:rsid w:val="00CE5E33"/>
    <w:rsid w:val="00CF2931"/>
    <w:rsid w:val="00D05F18"/>
    <w:rsid w:val="00DB7FAB"/>
    <w:rsid w:val="00DE3B35"/>
    <w:rsid w:val="00E87AF8"/>
    <w:rsid w:val="00EC62E5"/>
    <w:rsid w:val="00F61DE3"/>
    <w:rsid w:val="00FD5A74"/>
    <w:rsid w:val="00FF755B"/>
    <w:rsid w:val="00FF7F9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84CF5"/>
  <w15:chartTrackingRefBased/>
  <w15:docId w15:val="{13363FC6-563C-4D9C-ABC9-D99646149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8A9"/>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BVI fnr,MMP - Footnote Reference 2,ftref,16 Point,Superscript 6 Point,Fußnotenzeichen DISS,Footnote symbol,Char1 Char Char Char Char, Char1 Char Char Char Char,Odwołanie przypisu,Footnote,FR,Footnote Reference Number,ESPON Footnote No"/>
    <w:basedOn w:val="DefaultParagraphFont"/>
    <w:link w:val="BVIfnrCarCarCarCarChar"/>
    <w:uiPriority w:val="99"/>
    <w:unhideWhenUsed/>
    <w:qFormat/>
    <w:rsid w:val="009838A9"/>
    <w:rPr>
      <w:vertAlign w:val="superscript"/>
    </w:rPr>
  </w:style>
  <w:style w:type="paragraph" w:styleId="FootnoteText">
    <w:name w:val="footnote text"/>
    <w:basedOn w:val="Normal"/>
    <w:link w:val="FootnoteTextChar1"/>
    <w:uiPriority w:val="99"/>
    <w:semiHidden/>
    <w:unhideWhenUsed/>
    <w:rsid w:val="009838A9"/>
    <w:pPr>
      <w:spacing w:after="0" w:line="240" w:lineRule="auto"/>
    </w:pPr>
    <w:rPr>
      <w:sz w:val="20"/>
      <w:szCs w:val="20"/>
    </w:rPr>
  </w:style>
  <w:style w:type="character" w:customStyle="1" w:styleId="FootnoteTextChar">
    <w:name w:val="Footnote Text Char"/>
    <w:basedOn w:val="DefaultParagraphFont"/>
    <w:uiPriority w:val="99"/>
    <w:semiHidden/>
    <w:rsid w:val="009838A9"/>
    <w:rPr>
      <w:sz w:val="20"/>
      <w:szCs w:val="20"/>
      <w:lang w:val="en-US"/>
    </w:rPr>
  </w:style>
  <w:style w:type="character" w:customStyle="1" w:styleId="FootnoteTextChar1">
    <w:name w:val="Footnote Text Char1"/>
    <w:basedOn w:val="DefaultParagraphFont"/>
    <w:link w:val="FootnoteText"/>
    <w:uiPriority w:val="99"/>
    <w:semiHidden/>
    <w:rsid w:val="009838A9"/>
    <w:rPr>
      <w:sz w:val="20"/>
      <w:szCs w:val="20"/>
      <w:lang w:val="en-US"/>
    </w:rPr>
  </w:style>
  <w:style w:type="paragraph" w:customStyle="1" w:styleId="BVIfnrCarCarCarCarChar">
    <w:name w:val="BVI fnr Car Car Car Car Char"/>
    <w:basedOn w:val="Normal"/>
    <w:link w:val="FootnoteReference"/>
    <w:uiPriority w:val="99"/>
    <w:rsid w:val="009838A9"/>
    <w:pPr>
      <w:spacing w:after="240" w:line="240" w:lineRule="exact"/>
      <w:jc w:val="both"/>
    </w:pPr>
    <w:rPr>
      <w:vertAlign w:val="superscript"/>
      <w:lang w:val="en-GB"/>
    </w:rPr>
  </w:style>
  <w:style w:type="character" w:styleId="CommentReference">
    <w:name w:val="annotation reference"/>
    <w:basedOn w:val="DefaultParagraphFont"/>
    <w:uiPriority w:val="99"/>
    <w:semiHidden/>
    <w:unhideWhenUsed/>
    <w:rsid w:val="003D7D19"/>
    <w:rPr>
      <w:sz w:val="16"/>
      <w:szCs w:val="16"/>
    </w:rPr>
  </w:style>
  <w:style w:type="paragraph" w:styleId="CommentText">
    <w:name w:val="annotation text"/>
    <w:basedOn w:val="Normal"/>
    <w:link w:val="CommentTextChar"/>
    <w:uiPriority w:val="99"/>
    <w:semiHidden/>
    <w:unhideWhenUsed/>
    <w:rsid w:val="003D7D19"/>
    <w:pPr>
      <w:spacing w:line="240" w:lineRule="auto"/>
    </w:pPr>
    <w:rPr>
      <w:sz w:val="20"/>
      <w:szCs w:val="20"/>
    </w:rPr>
  </w:style>
  <w:style w:type="character" w:customStyle="1" w:styleId="CommentTextChar">
    <w:name w:val="Comment Text Char"/>
    <w:basedOn w:val="DefaultParagraphFont"/>
    <w:link w:val="CommentText"/>
    <w:uiPriority w:val="99"/>
    <w:semiHidden/>
    <w:rsid w:val="003D7D19"/>
    <w:rPr>
      <w:sz w:val="20"/>
      <w:szCs w:val="20"/>
      <w:lang w:val="en-US"/>
    </w:rPr>
  </w:style>
  <w:style w:type="paragraph" w:styleId="CommentSubject">
    <w:name w:val="annotation subject"/>
    <w:basedOn w:val="CommentText"/>
    <w:next w:val="CommentText"/>
    <w:link w:val="CommentSubjectChar"/>
    <w:uiPriority w:val="99"/>
    <w:semiHidden/>
    <w:unhideWhenUsed/>
    <w:rsid w:val="003D7D19"/>
    <w:rPr>
      <w:b/>
      <w:bCs/>
    </w:rPr>
  </w:style>
  <w:style w:type="character" w:customStyle="1" w:styleId="CommentSubjectChar">
    <w:name w:val="Comment Subject Char"/>
    <w:basedOn w:val="CommentTextChar"/>
    <w:link w:val="CommentSubject"/>
    <w:uiPriority w:val="99"/>
    <w:semiHidden/>
    <w:rsid w:val="003D7D19"/>
    <w:rPr>
      <w:b/>
      <w:bCs/>
      <w:sz w:val="20"/>
      <w:szCs w:val="20"/>
      <w:lang w:val="en-US"/>
    </w:rPr>
  </w:style>
  <w:style w:type="paragraph" w:styleId="BalloonText">
    <w:name w:val="Balloon Text"/>
    <w:basedOn w:val="Normal"/>
    <w:link w:val="BalloonTextChar"/>
    <w:uiPriority w:val="99"/>
    <w:semiHidden/>
    <w:unhideWhenUsed/>
    <w:rsid w:val="006310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0C2"/>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2632</Words>
  <Characters>15003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RCC</dc:creator>
  <cp:keywords/>
  <dc:description/>
  <cp:lastModifiedBy>Ajna Sarajlic</cp:lastModifiedBy>
  <cp:revision>3</cp:revision>
  <dcterms:created xsi:type="dcterms:W3CDTF">2022-06-03T11:03:00Z</dcterms:created>
  <dcterms:modified xsi:type="dcterms:W3CDTF">2022-06-03T11:04:00Z</dcterms:modified>
</cp:coreProperties>
</file>